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K-R" w:hAnsi="UD デジタル 教科書体 NK-R" w:eastAsia="UD デジタル 教科書体 NK-R"/>
          <w:sz w:val="22"/>
        </w:rPr>
      </w:pPr>
      <w:r>
        <w:rPr>
          <w:rFonts w:hint="default" w:ascii="UD デジタル 教科書体 NK-R" w:hAnsi="UD デジタル 教科書体 NK-R" w:eastAsia="UD デジタル 教科書体 NK-R"/>
          <w:sz w:val="22"/>
        </w:rPr>
        <w:pict>
          <v:rect id="_x0000_s1026" style="z-index:2;height:18.3pt;width:45.6pt;mso-position-horizontal-relative:text;position:absolute;margin-top:-19.100000000000001pt;margin-left:412.25pt;mso-position-vertical-relative:text;" filled="t" stroked="t" o:spt="1">
            <v:fill/>
            <v:textbox style="layout-flow:horizontal;" inset="2.0637499999999998mm,0.24694444444444438mm,2.0637499999999998mm,0.24694444444444438mm">
              <w:txbxContent>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別紙</w:t>
                  </w:r>
                </w:p>
              </w:txbxContent>
            </v:textbox>
            <v:imagedata o:title=""/>
            <w10:wrap type="none" anchorx="text" anchory="text"/>
          </v:rect>
        </w:pict>
      </w:r>
      <w:r>
        <w:rPr>
          <w:rFonts w:hint="eastAsia" w:ascii="UD デジタル 教科書体 NK-R" w:hAnsi="UD デジタル 教科書体 NK-R" w:eastAsia="UD デジタル 教科書体 NK-R"/>
          <w:sz w:val="22"/>
        </w:rPr>
        <w:t>評価基準</w:t>
      </w:r>
    </w:p>
    <w:tbl>
      <w:tblPr>
        <w:tblStyle w:val="31"/>
        <w:tblW w:w="0" w:type="auto"/>
        <w:jc w:val="center"/>
        <w:tblInd w:w="0" w:type="dxa"/>
        <w:tblLayout w:type="fixed"/>
        <w:tblLook w:firstRow="1" w:lastRow="0" w:firstColumn="1" w:lastColumn="0" w:noHBand="0" w:noVBand="1" w:val="04A0"/>
      </w:tblPr>
      <w:tblGrid>
        <w:gridCol w:w="535"/>
        <w:gridCol w:w="1980"/>
        <w:gridCol w:w="2880"/>
        <w:gridCol w:w="3110"/>
        <w:gridCol w:w="636"/>
      </w:tblGrid>
      <w:tr>
        <w:trPr/>
        <w:tc>
          <w:tcPr>
            <w:tcW w:w="535" w:type="dxa"/>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評価項目</w:t>
            </w:r>
          </w:p>
        </w:tc>
        <w:tc>
          <w:tcPr>
            <w:tcW w:w="2880" w:type="dxa"/>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評価の視点</w:t>
            </w:r>
          </w:p>
        </w:tc>
        <w:tc>
          <w:tcPr>
            <w:tcW w:w="3110" w:type="dxa"/>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主な指標</w:t>
            </w:r>
          </w:p>
        </w:tc>
        <w:tc>
          <w:tcPr>
            <w:tcW w:w="636"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配点</w:t>
            </w:r>
          </w:p>
        </w:tc>
      </w:tr>
      <w:tr>
        <w:trPr>
          <w:trHeight w:val="750" w:hRule="atLeast"/>
        </w:trPr>
        <w:tc>
          <w:tcPr>
            <w:tcW w:w="535" w:type="dxa"/>
            <w:vMerge w:val="restart"/>
            <w:textDirection w:val="tbRlV"/>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業務実施面</w:t>
            </w:r>
          </w:p>
        </w:tc>
        <w:tc>
          <w:tcPr>
            <w:tcW w:w="19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業務実施体制</w:t>
            </w: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業務を円滑に遂行できる</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実施体制となっているか</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担当者の数や配置、構成</w:t>
            </w:r>
          </w:p>
        </w:tc>
        <w:tc>
          <w:tcPr>
            <w:tcW w:w="636" w:type="dxa"/>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5</w:t>
            </w:r>
          </w:p>
        </w:tc>
      </w:tr>
      <w:tr>
        <w:trPr>
          <w:trHeight w:val="845" w:hRule="atLeast"/>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受託又は実施実績</w:t>
            </w: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本業務を遂行するために</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必要な知識・経験</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本市や他の地方公共団体等でシティセールス、ブランディング、メディア戦略などの事業を、過去５年以内に受託した実績数</w:t>
            </w:r>
          </w:p>
        </w:tc>
        <w:tc>
          <w:tcPr>
            <w:tcW w:w="636" w:type="dxa"/>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5</w:t>
            </w:r>
          </w:p>
        </w:tc>
      </w:tr>
      <w:tr>
        <w:trPr/>
        <w:tc>
          <w:tcPr>
            <w:tcW w:w="535" w:type="dxa"/>
            <w:vMerge w:val="restart"/>
            <w:textDirection w:val="tbRlV"/>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企画提案面</w:t>
            </w:r>
          </w:p>
        </w:tc>
        <w:tc>
          <w:tcPr>
            <w:tcW w:w="19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実施目的への理解度および実施内容との整合性</w:t>
            </w: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実施目的と提案内容に</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整合性があるか</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本業務の実施目的をよく理解し、その目的に沿った提案内容となっているか</w:t>
            </w:r>
          </w:p>
        </w:tc>
        <w:tc>
          <w:tcPr>
            <w:tcW w:w="636" w:type="dxa"/>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10</w:t>
            </w:r>
          </w:p>
        </w:tc>
      </w:tr>
      <w:tr>
        <w:trPr>
          <w:trHeight w:val="976" w:hRule="atLeast"/>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Merge w:val="restart"/>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企画、提案内容</w:t>
            </w:r>
          </w:p>
        </w:tc>
        <w:tc>
          <w:tcPr>
            <w:tcW w:w="288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ターゲット層に対し効果的に訴求できるようなランディングページ（以下、「ＬＰ」という。）を提案しているか</w:t>
            </w:r>
          </w:p>
        </w:tc>
        <w:tc>
          <w:tcPr>
            <w:tcW w:w="311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ターゲット層に「岸和田でできる暮らし」についてイメージさせ、画像等を効果的に使用する等、ターゲット層の感情に訴えるようなページを提案できているか。また、ページ閲覧者のイメージの変化を測定できるような仕組みを提案できているか。</w:t>
            </w:r>
          </w:p>
        </w:tc>
        <w:tc>
          <w:tcPr>
            <w:tcW w:w="636" w:type="dxa"/>
            <w:vAlign w:val="center"/>
          </w:tcPr>
          <w:p>
            <w:pPr>
              <w:pStyle w:val="0"/>
              <w:ind w:firstLine="105"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20</w:t>
            </w:r>
          </w:p>
        </w:tc>
      </w:tr>
      <w:tr>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rPr>
            </w:pPr>
          </w:p>
        </w:tc>
        <w:tc>
          <w:tcPr>
            <w:tcW w:w="288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ターゲット層を的確にＬＰへ誘導できるような提案となっているか</w:t>
            </w:r>
          </w:p>
        </w:tc>
        <w:tc>
          <w:tcPr>
            <w:tcW w:w="311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広告配信媒体選択や配信先の属性、広</w:t>
            </w:r>
            <w:r>
              <w:rPr>
                <w:rFonts w:hint="eastAsia" w:ascii="UD デジタル 教科書体 NK-R" w:hAnsi="UD デジタル 教科書体 NK-R" w:eastAsia="UD デジタル 教科書体 NK-R"/>
                <w:highlight w:val="none"/>
              </w:rPr>
              <w:t>告デザイン等ターゲット層へのリーチ</w:t>
            </w:r>
            <w:r>
              <w:rPr>
                <w:rFonts w:hint="eastAsia" w:ascii="UD デジタル 教科書体 NK-R" w:hAnsi="UD デジタル 教科書体 NK-R" w:eastAsia="UD デジタル 教科書体 NK-R"/>
              </w:rPr>
              <w:t>適した広告内容となっているか。また、指標である</w:t>
            </w:r>
            <w:r>
              <w:rPr>
                <w:rFonts w:hint="eastAsia" w:ascii="UD デジタル 教科書体 NK-R" w:hAnsi="UD デジタル 教科書体 NK-R" w:eastAsia="UD デジタル 教科書体 NK-R"/>
              </w:rPr>
              <w:t>15,000</w:t>
            </w:r>
            <w:r>
              <w:rPr>
                <w:rFonts w:hint="eastAsia" w:ascii="UD デジタル 教科書体 NK-R" w:hAnsi="UD デジタル 教科書体 NK-R" w:eastAsia="UD デジタル 教科書体 NK-R"/>
              </w:rPr>
              <w:t>人以上を</w:t>
            </w:r>
            <w:r>
              <w:rPr>
                <w:rFonts w:hint="eastAsia" w:ascii="UD デジタル 教科書体 NK-R" w:hAnsi="UD デジタル 教科書体 NK-R" w:eastAsia="UD デジタル 教科書体 NK-R"/>
              </w:rPr>
              <w:t>LP</w:t>
            </w:r>
            <w:r>
              <w:rPr>
                <w:rFonts w:hint="eastAsia" w:ascii="UD デジタル 教科書体 NK-R" w:hAnsi="UD デジタル 教科書体 NK-R" w:eastAsia="UD デジタル 教科書体 NK-R"/>
              </w:rPr>
              <w:t>へ誘導するためのロジックを明確に説明できているか。</w:t>
            </w:r>
            <w:bookmarkStart w:id="0" w:name="_GoBack"/>
            <w:bookmarkEnd w:id="0"/>
          </w:p>
        </w:tc>
        <w:tc>
          <w:tcPr>
            <w:tcW w:w="636" w:type="dxa"/>
            <w:vAlign w:val="center"/>
          </w:tcPr>
          <w:p>
            <w:pPr>
              <w:pStyle w:val="0"/>
              <w:ind w:firstLine="105"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20</w:t>
            </w:r>
          </w:p>
        </w:tc>
      </w:tr>
      <w:tr>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Merge w:val="continue"/>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rPr>
            </w:pP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多くの方が参加したいと思えるような動画・フォトコンテストを提案できているか</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魅力的なコンテストを提案し、多くの方に参加したいと思っていただけるような提案となっているか。</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また、指標である応募作品</w:t>
            </w:r>
            <w:r>
              <w:rPr>
                <w:rFonts w:hint="eastAsia" w:ascii="UD デジタル 教科書体 NK-R" w:hAnsi="UD デジタル 教科書体 NK-R" w:eastAsia="UD デジタル 教科書体 NK-R"/>
              </w:rPr>
              <w:t>500</w:t>
            </w:r>
            <w:r>
              <w:rPr>
                <w:rFonts w:hint="eastAsia" w:ascii="UD デジタル 教科書体 NK-R" w:hAnsi="UD デジタル 教科書体 NK-R" w:eastAsia="UD デジタル 教科書体 NK-R"/>
              </w:rPr>
              <w:t>件以上を達成するための告知方法等が的確か。</w:t>
            </w:r>
          </w:p>
        </w:tc>
        <w:tc>
          <w:tcPr>
            <w:tcW w:w="636" w:type="dxa"/>
            <w:vAlign w:val="center"/>
          </w:tcPr>
          <w:p>
            <w:pPr>
              <w:pStyle w:val="0"/>
              <w:ind w:firstLine="105"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10</w:t>
            </w:r>
          </w:p>
        </w:tc>
      </w:tr>
      <w:tr>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Merge w:val="continue"/>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rPr>
            </w:pP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効果測定方法の的確さ</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シティセールス方針における定住人口増加に向けた都市イメージの向上という観点で、今回の事業が有効だったのかどうかを定量的に測定できる内容となっているか。</w:t>
            </w:r>
          </w:p>
        </w:tc>
        <w:tc>
          <w:tcPr>
            <w:tcW w:w="636" w:type="dxa"/>
            <w:vAlign w:val="center"/>
          </w:tcPr>
          <w:p>
            <w:pPr>
              <w:pStyle w:val="0"/>
              <w:ind w:firstLine="105"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10</w:t>
            </w:r>
          </w:p>
        </w:tc>
      </w:tr>
      <w:tr>
        <w:trPr/>
        <w:tc>
          <w:tcPr>
            <w:tcW w:w="535" w:type="dxa"/>
            <w:vMerge w:val="continue"/>
            <w:vAlign w:val="center"/>
          </w:tcPr>
          <w:p>
            <w:pPr>
              <w:pStyle w:val="0"/>
              <w:jc w:val="center"/>
              <w:rPr>
                <w:rFonts w:hint="default" w:ascii="UD デジタル 教科書体 NK-R" w:hAnsi="UD デジタル 教科書体 NK-R" w:eastAsia="UD デジタル 教科書体 NK-R"/>
                <w:color w:val="000000" w:themeColor="text1"/>
              </w:rPr>
            </w:pPr>
          </w:p>
        </w:tc>
        <w:tc>
          <w:tcPr>
            <w:tcW w:w="19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工程管理</w:t>
            </w:r>
          </w:p>
        </w:tc>
        <w:tc>
          <w:tcPr>
            <w:tcW w:w="288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適切で安定した業務を提供できるスケジュールとなっているか</w:t>
            </w:r>
          </w:p>
        </w:tc>
        <w:tc>
          <w:tcPr>
            <w:tcW w:w="311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実施フローまたは工程表等の的確性。実現不可能又は困難なスケジュールとなっていないか。</w:t>
            </w:r>
          </w:p>
        </w:tc>
        <w:tc>
          <w:tcPr>
            <w:tcW w:w="636" w:type="dxa"/>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10</w:t>
            </w:r>
          </w:p>
        </w:tc>
      </w:tr>
      <w:tr>
        <w:trPr>
          <w:cantSplit/>
          <w:trHeight w:val="871" w:hRule="atLeast"/>
        </w:trPr>
        <w:tc>
          <w:tcPr>
            <w:tcW w:w="535" w:type="dxa"/>
            <w:textDirection w:val="tbRlV"/>
            <w:vAlign w:val="center"/>
          </w:tcPr>
          <w:p>
            <w:pPr>
              <w:pStyle w:val="0"/>
              <w:ind w:left="113" w:right="113"/>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見積書</w:t>
            </w:r>
          </w:p>
        </w:tc>
        <w:tc>
          <w:tcPr>
            <w:tcW w:w="19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見積金額の妥当性</w:t>
            </w:r>
          </w:p>
        </w:tc>
        <w:tc>
          <w:tcPr>
            <w:tcW w:w="2880" w:type="dxa"/>
            <w:vAlign w:val="center"/>
          </w:tcPr>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見積り内訳の明確さや</w:t>
            </w:r>
          </w:p>
          <w:p>
            <w:pPr>
              <w:pStyle w:val="0"/>
              <w:rPr>
                <w:rFonts w:hint="eastAsia"/>
              </w:rPr>
            </w:pPr>
            <w:r>
              <w:rPr>
                <w:rFonts w:hint="eastAsia" w:ascii="UD デジタル 教科書体 NK-R" w:hAnsi="UD デジタル 教科書体 NK-R" w:eastAsia="UD デジタル 教科書体 NK-R"/>
              </w:rPr>
              <w:t>妥当性</w:t>
            </w:r>
          </w:p>
        </w:tc>
        <w:tc>
          <w:tcPr>
            <w:tcW w:w="3110" w:type="dxa"/>
            <w:vAlign w:val="center"/>
          </w:tcPr>
          <w:p>
            <w:pPr>
              <w:pStyle w:val="0"/>
              <w:rPr>
                <w:rFonts w:hint="default" w:ascii="UD デジタル 教科書体 NK-R" w:hAnsi="UD デジタル 教科書体 NK-R" w:eastAsia="UD デジタル 教科書体 NK-R"/>
                <w:highlight w:val="yellow"/>
              </w:rPr>
            </w:pPr>
            <w:r>
              <w:rPr>
                <w:rFonts w:hint="eastAsia" w:ascii="UD デジタル 教科書体 NK-R" w:hAnsi="UD デジタル 教科書体 NK-R" w:eastAsia="UD デジタル 教科書体 NK-R"/>
              </w:rPr>
              <w:t>提案内容に見合った金額であるか、明確でわかりやすい見積書となっているか</w:t>
            </w:r>
          </w:p>
        </w:tc>
        <w:tc>
          <w:tcPr>
            <w:tcW w:w="636" w:type="dxa"/>
            <w:vAlign w:val="center"/>
          </w:tcPr>
          <w:p>
            <w:pPr>
              <w:pStyle w:val="0"/>
              <w:rPr>
                <w:rFonts w:hint="eastAsia"/>
              </w:rPr>
            </w:pPr>
            <w:r>
              <w:rPr>
                <w:rFonts w:hint="eastAsia" w:ascii="UD デジタル 教科書体 NK-R" w:hAnsi="UD デジタル 教科書体 NK-R" w:eastAsia="UD デジタル 教科書体 NK-R"/>
              </w:rPr>
              <w:t>10</w:t>
            </w:r>
          </w:p>
        </w:tc>
      </w:tr>
    </w:tbl>
    <w:p>
      <w:pPr>
        <w:pStyle w:val="0"/>
        <w:rPr>
          <w:rFonts w:hint="default" w:ascii="UD デジタル 教科書体 NK-R" w:hAnsi="UD デジタル 教科書体 NK-R" w:eastAsia="UD デジタル 教科書体 NK-R"/>
        </w:rPr>
      </w:pP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１．評価点</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xml:space="preserve">(1) </w:t>
      </w:r>
      <w:r>
        <w:rPr>
          <w:rFonts w:hint="eastAsia" w:ascii="UD デジタル 教科書体 NK-R" w:hAnsi="UD デジタル 教科書体 NK-R" w:eastAsia="UD デジタル 教科書体 NK-R"/>
        </w:rPr>
        <w:t>配点</w:t>
      </w:r>
    </w:p>
    <w:p>
      <w:pPr>
        <w:pStyle w:val="0"/>
        <w:ind w:left="210" w:leftChars="1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評価点は</w:t>
      </w:r>
      <w:r>
        <w:rPr>
          <w:rFonts w:hint="eastAsia" w:ascii="UD デジタル 教科書体 NK-R" w:hAnsi="UD デジタル 教科書体 NK-R" w:eastAsia="UD デジタル 教科書体 NK-R"/>
        </w:rPr>
        <w:t>100</w:t>
      </w:r>
      <w:r>
        <w:rPr>
          <w:rFonts w:hint="eastAsia" w:ascii="UD デジタル 教科書体 NK-R" w:hAnsi="UD デジタル 教科書体 NK-R" w:eastAsia="UD デジタル 教科書体 NK-R"/>
        </w:rPr>
        <w:t>点満点とし、各項目の配点は次のとおりとする。</w:t>
      </w:r>
    </w:p>
    <w:p>
      <w:pPr>
        <w:pStyle w:val="0"/>
        <w:ind w:left="210" w:left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ア）業務実施体制及び実績報告書　</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点</w:t>
      </w:r>
    </w:p>
    <w:p>
      <w:pPr>
        <w:pStyle w:val="0"/>
        <w:ind w:left="210" w:left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イ）提案書　</w:t>
      </w:r>
      <w:r>
        <w:rPr>
          <w:rFonts w:hint="eastAsia" w:ascii="UD デジタル 教科書体 NK-R" w:hAnsi="UD デジタル 教科書体 NK-R" w:eastAsia="UD デジタル 教科書体 NK-R"/>
        </w:rPr>
        <w:t>80</w:t>
      </w:r>
      <w:r>
        <w:rPr>
          <w:rFonts w:hint="eastAsia" w:ascii="UD デジタル 教科書体 NK-R" w:hAnsi="UD デジタル 教科書体 NK-R" w:eastAsia="UD デジタル 教科書体 NK-R"/>
        </w:rPr>
        <w:t>点</w:t>
      </w:r>
    </w:p>
    <w:p>
      <w:pPr>
        <w:pStyle w:val="0"/>
        <w:ind w:left="210" w:left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ウ）見積書　</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点</w:t>
      </w:r>
    </w:p>
    <w:p>
      <w:pPr>
        <w:pStyle w:val="0"/>
        <w:ind w:left="210" w:hanging="210" w:hanging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xml:space="preserve">(2) </w:t>
      </w:r>
      <w:r>
        <w:rPr>
          <w:rFonts w:hint="eastAsia" w:ascii="UD デジタル 教科書体 NK-R" w:hAnsi="UD デジタル 教科書体 NK-R" w:eastAsia="UD デジタル 教科書体 NK-R"/>
        </w:rPr>
        <w:t>採点方法</w:t>
      </w:r>
    </w:p>
    <w:p>
      <w:pPr>
        <w:pStyle w:val="0"/>
        <w:ind w:left="210" w:hanging="210" w:hanging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採点の方法等は、次のとおりとする。</w:t>
      </w:r>
    </w:p>
    <w:p>
      <w:pPr>
        <w:pStyle w:val="15"/>
        <w:numPr>
          <w:ilvl w:val="0"/>
          <w:numId w:val="1"/>
        </w:numPr>
        <w:ind w:leftChars="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業務実施体制及び実績報告書については、企業規模や過去の実績を基に</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点満点で評価する。</w:t>
      </w:r>
    </w:p>
    <w:p>
      <w:pPr>
        <w:pStyle w:val="0"/>
        <w:ind w:left="420" w:leftChars="100" w:hanging="210" w:hanging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イ）提案書については、次の項目ごとに点数をつけた合計点を評価点とする。</w:t>
      </w:r>
    </w:p>
    <w:p>
      <w:pPr>
        <w:pStyle w:val="0"/>
        <w:ind w:left="210" w:leftChars="1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①実施目的への理解度および実施内容との整合性</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xml:space="preserve"> 10</w:t>
      </w:r>
      <w:r>
        <w:rPr>
          <w:rFonts w:hint="eastAsia" w:ascii="UD デジタル 教科書体 NK-R" w:hAnsi="UD デジタル 教科書体 NK-R" w:eastAsia="UD デジタル 教科書体 NK-R"/>
        </w:rPr>
        <w:t>点満点</w:t>
      </w:r>
    </w:p>
    <w:p>
      <w:pPr>
        <w:pStyle w:val="0"/>
        <w:ind w:left="210" w:leftChars="1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②企画、提案内容　…　</w:t>
      </w:r>
      <w:r>
        <w:rPr>
          <w:rFonts w:hint="eastAsia" w:ascii="UD デジタル 教科書体 NK-R" w:hAnsi="UD デジタル 教科書体 NK-R" w:eastAsia="UD デジタル 教科書体 NK-R"/>
        </w:rPr>
        <w:t>60</w:t>
      </w:r>
      <w:r>
        <w:rPr>
          <w:rFonts w:hint="eastAsia" w:ascii="UD デジタル 教科書体 NK-R" w:hAnsi="UD デジタル 教科書体 NK-R" w:eastAsia="UD デジタル 教科書体 NK-R"/>
        </w:rPr>
        <w:t>点満点</w:t>
      </w:r>
    </w:p>
    <w:p>
      <w:pPr>
        <w:pStyle w:val="0"/>
        <w:ind w:left="210" w:leftChars="100"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③工程管理　…　</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点満点</w:t>
      </w:r>
    </w:p>
    <w:p>
      <w:pPr>
        <w:pStyle w:val="0"/>
        <w:ind w:firstLine="210"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ウ）見積書については、内訳の明確さと妥当性を</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点満点で評価する。</w:t>
      </w:r>
    </w:p>
    <w:sectPr>
      <w:pgSz w:w="11906" w:h="16838"/>
      <w:pgMar w:top="1134" w:right="1337" w:bottom="1134" w:left="1418" w:header="851" w:footer="992" w:gutter="0"/>
      <w:pgNumType w:fmt="numberInDash"/>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38A62A"/>
    <w:lvl w:ilvl="0" w:tplc="FF14636E">
      <w:start w:val="1"/>
      <w:numFmt w:val="aiueoFullWidth"/>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Note Heading"/>
    <w:basedOn w:val="0"/>
    <w:next w:val="0"/>
    <w:link w:val="21"/>
    <w:uiPriority w:val="0"/>
    <w:pPr>
      <w:jc w:val="center"/>
    </w:pPr>
    <w:rPr>
      <w:rFonts w:ascii="HGSｺﾞｼｯｸM" w:hAnsi="HGSｺﾞｼｯｸM" w:eastAsia="HGSｺﾞｼｯｸM"/>
      <w:sz w:val="24"/>
    </w:rPr>
  </w:style>
  <w:style w:type="character" w:styleId="21" w:customStyle="1">
    <w:name w:val="記 (文字)"/>
    <w:basedOn w:val="10"/>
    <w:next w:val="21"/>
    <w:link w:val="20"/>
    <w:uiPriority w:val="0"/>
    <w:rPr>
      <w:rFonts w:ascii="HGSｺﾞｼｯｸM" w:hAnsi="HGSｺﾞｼｯｸM" w:eastAsia="HGSｺﾞｼｯｸM"/>
      <w:sz w:val="24"/>
    </w:rPr>
  </w:style>
  <w:style w:type="paragraph" w:styleId="22">
    <w:name w:val="Closing"/>
    <w:basedOn w:val="0"/>
    <w:next w:val="22"/>
    <w:link w:val="23"/>
    <w:uiPriority w:val="0"/>
    <w:pPr>
      <w:jc w:val="right"/>
    </w:pPr>
    <w:rPr>
      <w:rFonts w:ascii="HGSｺﾞｼｯｸM" w:hAnsi="HGSｺﾞｼｯｸM" w:eastAsia="HGSｺﾞｼｯｸM"/>
      <w:sz w:val="24"/>
    </w:rPr>
  </w:style>
  <w:style w:type="character" w:styleId="23" w:customStyle="1">
    <w:name w:val="結語 (文字)"/>
    <w:basedOn w:val="10"/>
    <w:next w:val="23"/>
    <w:link w:val="22"/>
    <w:uiPriority w:val="0"/>
    <w:rPr>
      <w:rFonts w:ascii="HGSｺﾞｼｯｸM" w:hAnsi="HGSｺﾞｼｯｸM" w:eastAsia="HGSｺﾞｼｯｸM"/>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Hyperlink"/>
    <w:basedOn w:val="10"/>
    <w:next w:val="28"/>
    <w:link w:val="0"/>
    <w:uiPriority w:val="0"/>
    <w:rPr>
      <w:color w:val="0000FF" w:themeColor="hyperlink"/>
      <w:u w:val="single" w:color="auto"/>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5124</TotalTime>
  <Pages>2</Pages>
  <Words>24</Words>
  <Characters>1139</Characters>
  <Application>JUST Note</Application>
  <Lines>249</Lines>
  <Paragraphs>61</Paragraphs>
  <CharactersWithSpaces>1152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k-hirohata</dc:creator>
  <cp:lastModifiedBy>中井　義人</cp:lastModifiedBy>
  <cp:lastPrinted>2024-04-24T10:10:00Z</cp:lastPrinted>
  <dcterms:created xsi:type="dcterms:W3CDTF">2016-11-21T05:34:00Z</dcterms:created>
  <dcterms:modified xsi:type="dcterms:W3CDTF">2026-04-30T01:20:42Z</dcterms:modified>
  <cp:revision>366</cp:revision>
</cp:coreProperties>
</file>