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岸和田市福祉事務所長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42pt;mso-wrap-distance-left:9pt;width:88.4pt;mso-wrap-distance-top:0pt;mso-position-horizontal-relative:text;position:absolute;margin-top:2.25pt;margin-left:403.45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;height:42pt;mso-wrap-distance-left:9pt;width:88.4pt;mso-wrap-distance-top:0pt;mso-position-horizontal-relative:text;position:absolute;margin-top:16.350000000000001pt;margin-left:267.05pt;mso-position-vertical-relative:text;mso-wrap-distance-bottom:0pt;mso-wrap-distance-right:9pt;v-text-anchor:top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5;mso-wrap-distance-top:0pt;mso-position-horizontal-relative:text;position:absolute;mso-position-vertical-relative:text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4;mso-wrap-distance-top:0pt;mso-position-horizontal-relative:text;position:absolute;mso-position-vertical-relative:text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3;mso-wrap-distance-top:0pt;mso-position-horizontal-relative:text;position:absolute;mso-position-vertical-relative:text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0</Characters>
  <Application>JUST Note</Application>
  <Lines>0</Lines>
  <Paragraphs>0</Paragraphs>
  <CharactersWithSpaces>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新甚　敦士</cp:lastModifiedBy>
  <dcterms:modified xsi:type="dcterms:W3CDTF">2026-02-25T05:10:45Z</dcterms:modified>
  <cp:revision>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