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A2" w:rsidRPr="001446C7" w:rsidRDefault="000D7E24" w:rsidP="008D50BE">
      <w:pPr>
        <w:jc w:val="center"/>
        <w:rPr>
          <w:b/>
          <w:sz w:val="24"/>
          <w:szCs w:val="24"/>
        </w:rPr>
      </w:pPr>
      <w:r w:rsidRPr="001446C7">
        <w:rPr>
          <w:rFonts w:hint="eastAsia"/>
          <w:b/>
          <w:sz w:val="24"/>
          <w:szCs w:val="24"/>
        </w:rPr>
        <w:t>桃山学院大学と岸和田市との連携協力に関する協定書</w:t>
      </w:r>
    </w:p>
    <w:p w:rsidR="000D7E24" w:rsidRDefault="000D7E24" w:rsidP="000D7E24">
      <w:pPr>
        <w:jc w:val="center"/>
        <w:rPr>
          <w:sz w:val="28"/>
          <w:szCs w:val="28"/>
        </w:rPr>
      </w:pPr>
    </w:p>
    <w:p w:rsidR="000D7E24" w:rsidRDefault="000D7E24" w:rsidP="00805E13">
      <w:pPr>
        <w:jc w:val="left"/>
        <w:rPr>
          <w:szCs w:val="21"/>
        </w:rPr>
      </w:pPr>
      <w:r>
        <w:rPr>
          <w:rFonts w:hint="eastAsia"/>
          <w:szCs w:val="21"/>
        </w:rPr>
        <w:t xml:space="preserve">　桃山学院大学（以下「甲」という。）と岸和田市（以下「乙」という。）は、相互の連携・協力を積極的に推進するため、次の通り協定を締結する。</w:t>
      </w:r>
    </w:p>
    <w:p w:rsidR="000D7E24" w:rsidRDefault="000D7E24" w:rsidP="00805E13">
      <w:pPr>
        <w:jc w:val="left"/>
        <w:rPr>
          <w:szCs w:val="21"/>
        </w:rPr>
      </w:pPr>
    </w:p>
    <w:p w:rsidR="000D7E24" w:rsidRDefault="000D7E24" w:rsidP="00805E13">
      <w:pPr>
        <w:jc w:val="left"/>
        <w:rPr>
          <w:szCs w:val="21"/>
        </w:rPr>
      </w:pPr>
      <w:r>
        <w:rPr>
          <w:rFonts w:hint="eastAsia"/>
          <w:szCs w:val="21"/>
        </w:rPr>
        <w:t xml:space="preserve">　（目的）</w:t>
      </w:r>
    </w:p>
    <w:p w:rsidR="000D7E24" w:rsidRPr="00805E13" w:rsidRDefault="00805E13" w:rsidP="00146A82">
      <w:pPr>
        <w:ind w:left="210" w:hangingChars="100" w:hanging="210"/>
        <w:jc w:val="left"/>
        <w:rPr>
          <w:szCs w:val="21"/>
        </w:rPr>
      </w:pPr>
      <w:r>
        <w:rPr>
          <w:rFonts w:hint="eastAsia"/>
          <w:szCs w:val="21"/>
        </w:rPr>
        <w:t>第１条</w:t>
      </w:r>
      <w:r>
        <w:rPr>
          <w:rFonts w:hint="eastAsia"/>
          <w:color w:val="FFFFFF" w:themeColor="background1"/>
          <w:szCs w:val="21"/>
        </w:rPr>
        <w:t xml:space="preserve">　</w:t>
      </w:r>
      <w:r w:rsidRPr="00805E13">
        <w:rPr>
          <w:rFonts w:hint="eastAsia"/>
          <w:szCs w:val="21"/>
        </w:rPr>
        <w:t>本協定は、甲と乙が多様な分野で包括的に連携・協力し、地域社会の発展とその基盤となる人材育成に寄与することを目的とする。</w:t>
      </w:r>
    </w:p>
    <w:p w:rsidR="00805E13" w:rsidRDefault="00805E13" w:rsidP="00805E13">
      <w:pPr>
        <w:jc w:val="left"/>
        <w:rPr>
          <w:szCs w:val="21"/>
        </w:rPr>
      </w:pPr>
      <w:r>
        <w:rPr>
          <w:rFonts w:hint="eastAsia"/>
          <w:szCs w:val="21"/>
        </w:rPr>
        <w:t xml:space="preserve">　（事業分野）</w:t>
      </w:r>
    </w:p>
    <w:p w:rsidR="00805E13" w:rsidRDefault="00805E13" w:rsidP="00146A82">
      <w:pPr>
        <w:ind w:left="210" w:hangingChars="100" w:hanging="210"/>
        <w:jc w:val="left"/>
        <w:rPr>
          <w:szCs w:val="21"/>
        </w:rPr>
      </w:pPr>
      <w:r>
        <w:rPr>
          <w:rFonts w:hint="eastAsia"/>
          <w:szCs w:val="21"/>
        </w:rPr>
        <w:t>第２条　甲と乙は、前条に定める目的を実現するため、次に掲げる分野における取り組みについて連携・協力する。</w:t>
      </w:r>
    </w:p>
    <w:p w:rsidR="00805E13" w:rsidRPr="004B5F97" w:rsidRDefault="004B5F97" w:rsidP="004B5F97">
      <w:pPr>
        <w:pStyle w:val="a3"/>
        <w:numPr>
          <w:ilvl w:val="0"/>
          <w:numId w:val="3"/>
        </w:numPr>
        <w:ind w:leftChars="0"/>
        <w:jc w:val="left"/>
        <w:rPr>
          <w:szCs w:val="21"/>
        </w:rPr>
      </w:pPr>
      <w:r w:rsidRPr="004B5F97">
        <w:rPr>
          <w:rFonts w:hint="eastAsia"/>
          <w:szCs w:val="21"/>
        </w:rPr>
        <w:t>教育・文化・スポーツの振興に関する分野</w:t>
      </w:r>
    </w:p>
    <w:p w:rsidR="004B5F97" w:rsidRDefault="004B5F97" w:rsidP="004B5F97">
      <w:pPr>
        <w:pStyle w:val="a3"/>
        <w:numPr>
          <w:ilvl w:val="0"/>
          <w:numId w:val="3"/>
        </w:numPr>
        <w:ind w:leftChars="0"/>
        <w:jc w:val="left"/>
        <w:rPr>
          <w:szCs w:val="21"/>
        </w:rPr>
      </w:pPr>
      <w:r>
        <w:rPr>
          <w:rFonts w:hint="eastAsia"/>
          <w:szCs w:val="21"/>
        </w:rPr>
        <w:t>地域づくり・まちづくりの推進に関する分野</w:t>
      </w:r>
    </w:p>
    <w:p w:rsidR="004B5F97" w:rsidRDefault="004B5F97" w:rsidP="004B5F97">
      <w:pPr>
        <w:pStyle w:val="a3"/>
        <w:numPr>
          <w:ilvl w:val="0"/>
          <w:numId w:val="3"/>
        </w:numPr>
        <w:ind w:leftChars="0"/>
        <w:jc w:val="left"/>
        <w:rPr>
          <w:szCs w:val="21"/>
        </w:rPr>
      </w:pPr>
      <w:r>
        <w:rPr>
          <w:rFonts w:hint="eastAsia"/>
          <w:szCs w:val="21"/>
        </w:rPr>
        <w:t>地域に貢献できる人材育成に関する分野</w:t>
      </w:r>
    </w:p>
    <w:p w:rsidR="004B5F97" w:rsidRDefault="004B5F97" w:rsidP="004B5F97">
      <w:pPr>
        <w:pStyle w:val="a3"/>
        <w:numPr>
          <w:ilvl w:val="0"/>
          <w:numId w:val="3"/>
        </w:numPr>
        <w:ind w:leftChars="0"/>
        <w:jc w:val="left"/>
        <w:rPr>
          <w:szCs w:val="21"/>
        </w:rPr>
      </w:pPr>
      <w:r>
        <w:rPr>
          <w:rFonts w:hint="eastAsia"/>
          <w:szCs w:val="21"/>
        </w:rPr>
        <w:t>産業・商工振興に関する分野</w:t>
      </w:r>
    </w:p>
    <w:p w:rsidR="004B5F97" w:rsidRDefault="004B5F97" w:rsidP="004B5F97">
      <w:pPr>
        <w:pStyle w:val="a3"/>
        <w:numPr>
          <w:ilvl w:val="0"/>
          <w:numId w:val="3"/>
        </w:numPr>
        <w:ind w:leftChars="0"/>
        <w:jc w:val="left"/>
        <w:rPr>
          <w:szCs w:val="21"/>
        </w:rPr>
      </w:pPr>
      <w:r>
        <w:rPr>
          <w:rFonts w:hint="eastAsia"/>
          <w:szCs w:val="21"/>
        </w:rPr>
        <w:t>地域の健康および福祉の発展に関する分野</w:t>
      </w:r>
    </w:p>
    <w:p w:rsidR="004B5F97" w:rsidRDefault="004B5F97" w:rsidP="004B5F97">
      <w:pPr>
        <w:pStyle w:val="a3"/>
        <w:numPr>
          <w:ilvl w:val="0"/>
          <w:numId w:val="3"/>
        </w:numPr>
        <w:ind w:leftChars="0"/>
        <w:jc w:val="left"/>
        <w:rPr>
          <w:szCs w:val="21"/>
        </w:rPr>
      </w:pPr>
      <w:r>
        <w:rPr>
          <w:rFonts w:hint="eastAsia"/>
          <w:szCs w:val="21"/>
        </w:rPr>
        <w:t>国際交流に関する分野</w:t>
      </w:r>
      <w:bookmarkStart w:id="0" w:name="_GoBack"/>
      <w:bookmarkEnd w:id="0"/>
    </w:p>
    <w:p w:rsidR="004B5F97" w:rsidRDefault="004B5F97" w:rsidP="004B5F97">
      <w:pPr>
        <w:pStyle w:val="a3"/>
        <w:numPr>
          <w:ilvl w:val="0"/>
          <w:numId w:val="3"/>
        </w:numPr>
        <w:ind w:leftChars="0"/>
        <w:jc w:val="left"/>
        <w:rPr>
          <w:szCs w:val="21"/>
        </w:rPr>
      </w:pPr>
      <w:r>
        <w:rPr>
          <w:rFonts w:hint="eastAsia"/>
          <w:szCs w:val="21"/>
        </w:rPr>
        <w:t>生涯学習に関する分野</w:t>
      </w:r>
    </w:p>
    <w:p w:rsidR="004B5F97" w:rsidRDefault="004B5F97" w:rsidP="004B5F97">
      <w:pPr>
        <w:pStyle w:val="a3"/>
        <w:numPr>
          <w:ilvl w:val="0"/>
          <w:numId w:val="3"/>
        </w:numPr>
        <w:ind w:leftChars="0"/>
        <w:jc w:val="left"/>
        <w:rPr>
          <w:szCs w:val="21"/>
        </w:rPr>
      </w:pPr>
      <w:r>
        <w:rPr>
          <w:rFonts w:hint="eastAsia"/>
          <w:szCs w:val="21"/>
        </w:rPr>
        <w:t>その他双方が必要と認める分野</w:t>
      </w:r>
    </w:p>
    <w:p w:rsidR="004B5F97" w:rsidRDefault="004B5F97" w:rsidP="004B5F97">
      <w:pPr>
        <w:ind w:left="210"/>
        <w:jc w:val="left"/>
        <w:rPr>
          <w:szCs w:val="21"/>
        </w:rPr>
      </w:pPr>
      <w:r>
        <w:rPr>
          <w:rFonts w:hint="eastAsia"/>
          <w:szCs w:val="21"/>
        </w:rPr>
        <w:t>（</w:t>
      </w:r>
      <w:r w:rsidR="001446C7">
        <w:rPr>
          <w:rFonts w:hint="eastAsia"/>
          <w:szCs w:val="21"/>
        </w:rPr>
        <w:t>連絡</w:t>
      </w:r>
      <w:r>
        <w:rPr>
          <w:rFonts w:hint="eastAsia"/>
          <w:szCs w:val="21"/>
        </w:rPr>
        <w:t>調整窓口）</w:t>
      </w:r>
    </w:p>
    <w:p w:rsidR="004B5F97" w:rsidRDefault="004B5F97" w:rsidP="00146A82">
      <w:pPr>
        <w:ind w:left="210" w:hangingChars="100" w:hanging="210"/>
        <w:jc w:val="left"/>
        <w:rPr>
          <w:szCs w:val="21"/>
        </w:rPr>
      </w:pPr>
      <w:r>
        <w:rPr>
          <w:rFonts w:hint="eastAsia"/>
          <w:szCs w:val="21"/>
        </w:rPr>
        <w:t>第</w:t>
      </w:r>
      <w:r w:rsidR="00FB1D33">
        <w:rPr>
          <w:rFonts w:hint="eastAsia"/>
          <w:szCs w:val="21"/>
        </w:rPr>
        <w:t>３</w:t>
      </w:r>
      <w:r>
        <w:rPr>
          <w:rFonts w:hint="eastAsia"/>
          <w:szCs w:val="21"/>
        </w:rPr>
        <w:t>条　甲と乙は、前条の事項の円滑かつ効果的な推進を図るため、それぞれ連絡調整窓口を設置するものとする。</w:t>
      </w:r>
    </w:p>
    <w:p w:rsidR="004B5F97" w:rsidRDefault="004B5F97" w:rsidP="004B5F97">
      <w:pPr>
        <w:ind w:firstLineChars="100" w:firstLine="210"/>
        <w:jc w:val="left"/>
        <w:rPr>
          <w:szCs w:val="21"/>
        </w:rPr>
      </w:pPr>
      <w:r>
        <w:rPr>
          <w:rFonts w:hint="eastAsia"/>
          <w:szCs w:val="21"/>
        </w:rPr>
        <w:t>（協議事項）</w:t>
      </w:r>
    </w:p>
    <w:p w:rsidR="004B5F97" w:rsidRDefault="004B5F97" w:rsidP="00146A82">
      <w:pPr>
        <w:ind w:left="210" w:hangingChars="100" w:hanging="210"/>
        <w:jc w:val="left"/>
        <w:rPr>
          <w:szCs w:val="21"/>
        </w:rPr>
      </w:pPr>
      <w:r>
        <w:rPr>
          <w:rFonts w:hint="eastAsia"/>
          <w:szCs w:val="21"/>
        </w:rPr>
        <w:t>第４条　甲と乙は、本協定に基づく連携・協力の具体的内容及び成果の利用条件その他必要な事項について、その都度協議して定めるものとする。</w:t>
      </w:r>
    </w:p>
    <w:p w:rsidR="004B5F97" w:rsidRDefault="004B5F97" w:rsidP="004B5F97">
      <w:pPr>
        <w:ind w:firstLineChars="100" w:firstLine="210"/>
        <w:jc w:val="left"/>
        <w:rPr>
          <w:szCs w:val="21"/>
        </w:rPr>
      </w:pPr>
      <w:r>
        <w:rPr>
          <w:rFonts w:hint="eastAsia"/>
          <w:szCs w:val="21"/>
        </w:rPr>
        <w:t>（情報保護）</w:t>
      </w:r>
    </w:p>
    <w:p w:rsidR="004B5F97" w:rsidRDefault="004B5F97" w:rsidP="00146A82">
      <w:pPr>
        <w:ind w:left="210" w:hangingChars="100" w:hanging="210"/>
        <w:jc w:val="left"/>
        <w:rPr>
          <w:szCs w:val="21"/>
        </w:rPr>
      </w:pPr>
      <w:r>
        <w:rPr>
          <w:rFonts w:hint="eastAsia"/>
          <w:szCs w:val="21"/>
        </w:rPr>
        <w:t xml:space="preserve">第５条　</w:t>
      </w:r>
      <w:r w:rsidR="00146A82">
        <w:rPr>
          <w:rFonts w:hint="eastAsia"/>
          <w:szCs w:val="21"/>
        </w:rPr>
        <w:t>甲と乙は、本協定に基づき連携・協力</w:t>
      </w:r>
      <w:r w:rsidR="001446C7">
        <w:rPr>
          <w:rFonts w:hint="eastAsia"/>
          <w:szCs w:val="21"/>
        </w:rPr>
        <w:t>する</w:t>
      </w:r>
      <w:r w:rsidR="00146A82">
        <w:rPr>
          <w:rFonts w:hint="eastAsia"/>
          <w:szCs w:val="21"/>
        </w:rPr>
        <w:t>に当たり、事前に相手方の同意を得た情報以外の情報を第三者に対して開示又は漏洩してはならない。</w:t>
      </w:r>
    </w:p>
    <w:p w:rsidR="00146A82" w:rsidRDefault="00146A82" w:rsidP="00146A82">
      <w:pPr>
        <w:ind w:leftChars="100" w:left="210"/>
        <w:jc w:val="left"/>
        <w:rPr>
          <w:szCs w:val="21"/>
        </w:rPr>
      </w:pPr>
      <w:r>
        <w:rPr>
          <w:rFonts w:hint="eastAsia"/>
          <w:szCs w:val="21"/>
        </w:rPr>
        <w:t>（協定期間）</w:t>
      </w:r>
    </w:p>
    <w:p w:rsidR="00146A82" w:rsidRPr="004B5F97" w:rsidRDefault="00146A82" w:rsidP="00146A82">
      <w:pPr>
        <w:ind w:left="210" w:hangingChars="100" w:hanging="210"/>
        <w:jc w:val="left"/>
        <w:rPr>
          <w:szCs w:val="21"/>
        </w:rPr>
      </w:pPr>
      <w:r>
        <w:rPr>
          <w:rFonts w:hint="eastAsia"/>
          <w:szCs w:val="21"/>
        </w:rPr>
        <w:t>第６条　本協定の有効期間は、協定締結の日から</w:t>
      </w:r>
      <w:r>
        <w:rPr>
          <w:rFonts w:hint="eastAsia"/>
          <w:szCs w:val="21"/>
        </w:rPr>
        <w:t>1</w:t>
      </w:r>
      <w:r>
        <w:rPr>
          <w:rFonts w:hint="eastAsia"/>
          <w:szCs w:val="21"/>
        </w:rPr>
        <w:t>年間とする。ただし、本協定の有効期間満了日の</w:t>
      </w:r>
      <w:r>
        <w:rPr>
          <w:rFonts w:hint="eastAsia"/>
          <w:szCs w:val="21"/>
        </w:rPr>
        <w:t>1</w:t>
      </w:r>
      <w:r>
        <w:rPr>
          <w:rFonts w:hint="eastAsia"/>
          <w:szCs w:val="21"/>
        </w:rPr>
        <w:t>ヶ月前までに、甲と乙のいずれからも改廃の申入れがない場合は、有効期間がさらに</w:t>
      </w:r>
      <w:r>
        <w:rPr>
          <w:rFonts w:hint="eastAsia"/>
          <w:szCs w:val="21"/>
        </w:rPr>
        <w:t>1</w:t>
      </w:r>
      <w:r>
        <w:rPr>
          <w:rFonts w:hint="eastAsia"/>
          <w:szCs w:val="21"/>
        </w:rPr>
        <w:t>年間更新されるものとし、その後も同様とする。</w:t>
      </w:r>
    </w:p>
    <w:p w:rsidR="00805E13" w:rsidRDefault="00146A82" w:rsidP="00146A82">
      <w:pPr>
        <w:ind w:firstLineChars="100" w:firstLine="210"/>
        <w:jc w:val="left"/>
        <w:rPr>
          <w:szCs w:val="21"/>
        </w:rPr>
      </w:pPr>
      <w:r>
        <w:rPr>
          <w:rFonts w:hint="eastAsia"/>
          <w:szCs w:val="21"/>
        </w:rPr>
        <w:t>（その他）</w:t>
      </w:r>
    </w:p>
    <w:p w:rsidR="00146A82" w:rsidRDefault="00146A82" w:rsidP="00146A82">
      <w:pPr>
        <w:ind w:left="210" w:hangingChars="100" w:hanging="210"/>
        <w:jc w:val="left"/>
        <w:rPr>
          <w:szCs w:val="21"/>
        </w:rPr>
      </w:pPr>
      <w:r>
        <w:rPr>
          <w:rFonts w:hint="eastAsia"/>
          <w:szCs w:val="21"/>
        </w:rPr>
        <w:t>第７条　本協定に基づく運用に疑義が生じた場合及び当該協定書に定めのない事項が生じた場合は、甲と乙が協議の上、その取り扱いを決定するものとする。</w:t>
      </w:r>
    </w:p>
    <w:p w:rsidR="00146A82" w:rsidRDefault="00146A82" w:rsidP="00146A82">
      <w:pPr>
        <w:ind w:left="210" w:hangingChars="100" w:hanging="210"/>
        <w:jc w:val="left"/>
        <w:rPr>
          <w:szCs w:val="21"/>
        </w:rPr>
      </w:pPr>
      <w:r>
        <w:rPr>
          <w:rFonts w:hint="eastAsia"/>
          <w:szCs w:val="21"/>
        </w:rPr>
        <w:t xml:space="preserve">　本協定締結の証として、本協定書</w:t>
      </w:r>
      <w:r>
        <w:rPr>
          <w:rFonts w:hint="eastAsia"/>
          <w:szCs w:val="21"/>
        </w:rPr>
        <w:t>2</w:t>
      </w:r>
      <w:r>
        <w:rPr>
          <w:rFonts w:hint="eastAsia"/>
          <w:szCs w:val="21"/>
        </w:rPr>
        <w:t>通を作成し、署名捺印の上、甲と乙</w:t>
      </w:r>
      <w:r w:rsidR="00446FFB">
        <w:rPr>
          <w:rFonts w:hint="eastAsia"/>
          <w:szCs w:val="21"/>
        </w:rPr>
        <w:t>各</w:t>
      </w:r>
      <w:r w:rsidR="00446FFB">
        <w:rPr>
          <w:rFonts w:hint="eastAsia"/>
          <w:szCs w:val="21"/>
        </w:rPr>
        <w:t>1</w:t>
      </w:r>
      <w:r w:rsidR="00446FFB">
        <w:rPr>
          <w:rFonts w:hint="eastAsia"/>
          <w:szCs w:val="21"/>
        </w:rPr>
        <w:t>通を所持する。</w:t>
      </w:r>
    </w:p>
    <w:p w:rsidR="00446FFB" w:rsidRDefault="00446FFB" w:rsidP="00146A82">
      <w:pPr>
        <w:ind w:left="210" w:hangingChars="100" w:hanging="210"/>
        <w:jc w:val="left"/>
        <w:rPr>
          <w:szCs w:val="21"/>
        </w:rPr>
      </w:pPr>
    </w:p>
    <w:p w:rsidR="008D50BE" w:rsidRDefault="005954C5" w:rsidP="00146A82">
      <w:pPr>
        <w:ind w:left="210" w:hangingChars="100" w:hanging="210"/>
        <w:jc w:val="left"/>
        <w:rPr>
          <w:szCs w:val="21"/>
        </w:rPr>
      </w:pPr>
      <w:r>
        <w:rPr>
          <w:rFonts w:hint="eastAsia"/>
          <w:szCs w:val="21"/>
        </w:rPr>
        <w:t>２０１６年（平成２８年）７</w:t>
      </w:r>
      <w:r w:rsidR="00446FFB">
        <w:rPr>
          <w:rFonts w:hint="eastAsia"/>
          <w:szCs w:val="21"/>
        </w:rPr>
        <w:t>月</w:t>
      </w:r>
      <w:r>
        <w:rPr>
          <w:rFonts w:hint="eastAsia"/>
          <w:szCs w:val="21"/>
        </w:rPr>
        <w:t>８</w:t>
      </w:r>
      <w:r w:rsidR="00446FFB">
        <w:rPr>
          <w:rFonts w:hint="eastAsia"/>
          <w:szCs w:val="21"/>
        </w:rPr>
        <w:t>日</w:t>
      </w:r>
    </w:p>
    <w:p w:rsidR="00446FFB" w:rsidRDefault="00446FFB" w:rsidP="00146A82">
      <w:pPr>
        <w:ind w:left="210" w:hangingChars="100" w:hanging="210"/>
        <w:jc w:val="left"/>
        <w:rPr>
          <w:szCs w:val="21"/>
        </w:rPr>
      </w:pPr>
      <w:r>
        <w:rPr>
          <w:rFonts w:hint="eastAsia"/>
          <w:szCs w:val="21"/>
        </w:rPr>
        <w:t xml:space="preserve">　　桃山学院大学　　　　　　　　　　　　　　　　　　　岸和田市</w:t>
      </w:r>
    </w:p>
    <w:p w:rsidR="00146A82" w:rsidRPr="00805E13" w:rsidRDefault="00446FFB" w:rsidP="00446FFB">
      <w:pPr>
        <w:ind w:left="210" w:hangingChars="100" w:hanging="210"/>
        <w:jc w:val="left"/>
        <w:rPr>
          <w:szCs w:val="21"/>
        </w:rPr>
      </w:pPr>
      <w:r>
        <w:rPr>
          <w:rFonts w:hint="eastAsia"/>
          <w:szCs w:val="21"/>
        </w:rPr>
        <w:t xml:space="preserve">　　　学長　　　　　　　　　　　　　　　　　　　　　　　市長</w:t>
      </w:r>
    </w:p>
    <w:sectPr w:rsidR="00146A82" w:rsidRPr="00805E13" w:rsidSect="00F5284D">
      <w:pgSz w:w="11906" w:h="16838" w:code="9"/>
      <w:pgMar w:top="1134"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609" w:rsidRDefault="00117609" w:rsidP="00805E13">
      <w:r>
        <w:separator/>
      </w:r>
    </w:p>
  </w:endnote>
  <w:endnote w:type="continuationSeparator" w:id="0">
    <w:p w:rsidR="00117609" w:rsidRDefault="00117609" w:rsidP="00805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609" w:rsidRDefault="00117609" w:rsidP="00805E13">
      <w:r>
        <w:separator/>
      </w:r>
    </w:p>
  </w:footnote>
  <w:footnote w:type="continuationSeparator" w:id="0">
    <w:p w:rsidR="00117609" w:rsidRDefault="00117609" w:rsidP="00805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43C"/>
    <w:multiLevelType w:val="hybridMultilevel"/>
    <w:tmpl w:val="42FC0CB6"/>
    <w:lvl w:ilvl="0" w:tplc="4DCAD2B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451B1B"/>
    <w:multiLevelType w:val="hybridMultilevel"/>
    <w:tmpl w:val="401A7ACE"/>
    <w:lvl w:ilvl="0" w:tplc="95DCA004">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2F36C1"/>
    <w:multiLevelType w:val="hybridMultilevel"/>
    <w:tmpl w:val="EF1A6DC2"/>
    <w:lvl w:ilvl="0" w:tplc="0D8E7C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7E24"/>
    <w:rsid w:val="000D7E24"/>
    <w:rsid w:val="00117609"/>
    <w:rsid w:val="001446C7"/>
    <w:rsid w:val="00146A82"/>
    <w:rsid w:val="001B6B4C"/>
    <w:rsid w:val="002D2AA2"/>
    <w:rsid w:val="00446FFB"/>
    <w:rsid w:val="004B5F97"/>
    <w:rsid w:val="005954C5"/>
    <w:rsid w:val="00632A0E"/>
    <w:rsid w:val="00645FFF"/>
    <w:rsid w:val="00711442"/>
    <w:rsid w:val="00805E13"/>
    <w:rsid w:val="00875F41"/>
    <w:rsid w:val="008D50BE"/>
    <w:rsid w:val="0097384B"/>
    <w:rsid w:val="009E0EA2"/>
    <w:rsid w:val="00A125E4"/>
    <w:rsid w:val="00AC6C5C"/>
    <w:rsid w:val="00F5284D"/>
    <w:rsid w:val="00FB1D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E13"/>
    <w:pPr>
      <w:ind w:leftChars="400" w:left="840"/>
    </w:pPr>
  </w:style>
  <w:style w:type="paragraph" w:styleId="a4">
    <w:name w:val="header"/>
    <w:basedOn w:val="a"/>
    <w:link w:val="a5"/>
    <w:uiPriority w:val="99"/>
    <w:unhideWhenUsed/>
    <w:rsid w:val="00805E13"/>
    <w:pPr>
      <w:tabs>
        <w:tab w:val="center" w:pos="4252"/>
        <w:tab w:val="right" w:pos="8504"/>
      </w:tabs>
      <w:snapToGrid w:val="0"/>
    </w:pPr>
  </w:style>
  <w:style w:type="character" w:customStyle="1" w:styleId="a5">
    <w:name w:val="ヘッダー (文字)"/>
    <w:basedOn w:val="a0"/>
    <w:link w:val="a4"/>
    <w:uiPriority w:val="99"/>
    <w:rsid w:val="00805E13"/>
  </w:style>
  <w:style w:type="paragraph" w:styleId="a6">
    <w:name w:val="footer"/>
    <w:basedOn w:val="a"/>
    <w:link w:val="a7"/>
    <w:uiPriority w:val="99"/>
    <w:unhideWhenUsed/>
    <w:rsid w:val="00805E13"/>
    <w:pPr>
      <w:tabs>
        <w:tab w:val="center" w:pos="4252"/>
        <w:tab w:val="right" w:pos="8504"/>
      </w:tabs>
      <w:snapToGrid w:val="0"/>
    </w:pPr>
  </w:style>
  <w:style w:type="character" w:customStyle="1" w:styleId="a7">
    <w:name w:val="フッター (文字)"/>
    <w:basedOn w:val="a0"/>
    <w:link w:val="a6"/>
    <w:uiPriority w:val="99"/>
    <w:rsid w:val="00805E13"/>
  </w:style>
  <w:style w:type="paragraph" w:styleId="a8">
    <w:name w:val="Balloon Text"/>
    <w:basedOn w:val="a"/>
    <w:link w:val="a9"/>
    <w:uiPriority w:val="99"/>
    <w:semiHidden/>
    <w:unhideWhenUsed/>
    <w:rsid w:val="008D50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0B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情報センター事務課</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竹川　佳佑</dc:creator>
  <cp:lastModifiedBy>岸和田市</cp:lastModifiedBy>
  <cp:revision>2</cp:revision>
  <cp:lastPrinted>2016-02-22T00:12:00Z</cp:lastPrinted>
  <dcterms:created xsi:type="dcterms:W3CDTF">2016-06-27T07:27:00Z</dcterms:created>
  <dcterms:modified xsi:type="dcterms:W3CDTF">2016-06-27T07:27:00Z</dcterms:modified>
</cp:coreProperties>
</file>