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36" w:rsidRPr="00F24BFA" w:rsidRDefault="00A30DE7" w:rsidP="00A30DE7">
      <w:pPr>
        <w:jc w:val="center"/>
        <w:rPr>
          <w:rFonts w:asciiTheme="minorEastAsia" w:hAnsiTheme="minorEastAsia"/>
          <w:sz w:val="24"/>
          <w:szCs w:val="24"/>
        </w:rPr>
      </w:pPr>
      <w:bookmarkStart w:id="0" w:name="_GoBack"/>
      <w:bookmarkEnd w:id="0"/>
      <w:r w:rsidRPr="00F24BFA">
        <w:rPr>
          <w:rFonts w:asciiTheme="minorEastAsia" w:hAnsiTheme="minorEastAsia" w:hint="eastAsia"/>
          <w:sz w:val="24"/>
          <w:szCs w:val="24"/>
        </w:rPr>
        <w:t>岸和田市農業委員会</w:t>
      </w:r>
      <w:r w:rsidR="00F24BFA">
        <w:rPr>
          <w:rFonts w:asciiTheme="minorEastAsia" w:hAnsiTheme="minorEastAsia" w:hint="eastAsia"/>
          <w:sz w:val="24"/>
          <w:szCs w:val="24"/>
        </w:rPr>
        <w:t xml:space="preserve">　</w:t>
      </w:r>
      <w:r w:rsidRPr="00F24BFA">
        <w:rPr>
          <w:rFonts w:asciiTheme="minorEastAsia" w:hAnsiTheme="minorEastAsia" w:hint="eastAsia"/>
          <w:sz w:val="24"/>
          <w:szCs w:val="24"/>
        </w:rPr>
        <w:t>「農地等の利用の最適化に関する指針」</w:t>
      </w:r>
    </w:p>
    <w:p w:rsidR="00A30DE7" w:rsidRPr="00F24BFA" w:rsidRDefault="00A30DE7">
      <w:pPr>
        <w:rPr>
          <w:rFonts w:asciiTheme="minorEastAsia" w:hAnsiTheme="minorEastAsia"/>
          <w:sz w:val="24"/>
          <w:szCs w:val="24"/>
        </w:rPr>
      </w:pPr>
    </w:p>
    <w:p w:rsidR="00002FA6" w:rsidRPr="00F24BFA" w:rsidRDefault="00002FA6">
      <w:pPr>
        <w:rPr>
          <w:rFonts w:asciiTheme="minorEastAsia" w:hAnsiTheme="minorEastAsia"/>
          <w:sz w:val="24"/>
          <w:szCs w:val="24"/>
        </w:rPr>
      </w:pPr>
    </w:p>
    <w:p w:rsidR="00A30DE7" w:rsidRPr="00F24BFA" w:rsidRDefault="00F24BFA" w:rsidP="00A30DE7">
      <w:pPr>
        <w:jc w:val="right"/>
        <w:rPr>
          <w:rFonts w:asciiTheme="minorEastAsia" w:hAnsiTheme="minorEastAsia"/>
          <w:sz w:val="24"/>
          <w:szCs w:val="24"/>
        </w:rPr>
      </w:pPr>
      <w:r w:rsidRPr="003C1D2B">
        <w:rPr>
          <w:rFonts w:asciiTheme="minorEastAsia" w:hAnsiTheme="minorEastAsia" w:hint="eastAsia"/>
          <w:spacing w:val="17"/>
          <w:kern w:val="0"/>
          <w:sz w:val="24"/>
          <w:szCs w:val="24"/>
          <w:fitText w:val="2160" w:id="-1288426240"/>
        </w:rPr>
        <w:t>令和５年４</w:t>
      </w:r>
      <w:r w:rsidR="00A30DE7" w:rsidRPr="003C1D2B">
        <w:rPr>
          <w:rFonts w:asciiTheme="minorEastAsia" w:hAnsiTheme="minorEastAsia" w:hint="eastAsia"/>
          <w:spacing w:val="17"/>
          <w:kern w:val="0"/>
          <w:sz w:val="24"/>
          <w:szCs w:val="24"/>
          <w:fitText w:val="2160" w:id="-1288426240"/>
        </w:rPr>
        <w:t>月</w:t>
      </w:r>
      <w:r w:rsidR="003C1D2B" w:rsidRPr="003C1D2B">
        <w:rPr>
          <w:rFonts w:asciiTheme="minorEastAsia" w:hAnsiTheme="minorEastAsia" w:hint="eastAsia"/>
          <w:spacing w:val="17"/>
          <w:kern w:val="0"/>
          <w:sz w:val="24"/>
          <w:szCs w:val="24"/>
          <w:fitText w:val="2160" w:id="-1288426240"/>
        </w:rPr>
        <w:t>７</w:t>
      </w:r>
      <w:r w:rsidRPr="003C1D2B">
        <w:rPr>
          <w:rFonts w:asciiTheme="minorEastAsia" w:hAnsiTheme="minorEastAsia" w:hint="eastAsia"/>
          <w:spacing w:val="1"/>
          <w:kern w:val="0"/>
          <w:sz w:val="24"/>
          <w:szCs w:val="24"/>
          <w:fitText w:val="2160" w:id="-1288426240"/>
        </w:rPr>
        <w:t>日</w:t>
      </w:r>
    </w:p>
    <w:p w:rsidR="00A30DE7" w:rsidRPr="00F24BFA" w:rsidRDefault="00A30DE7" w:rsidP="00A30DE7">
      <w:pPr>
        <w:jc w:val="right"/>
        <w:rPr>
          <w:rFonts w:asciiTheme="minorEastAsia" w:hAnsiTheme="minorEastAsia"/>
          <w:sz w:val="24"/>
          <w:szCs w:val="24"/>
        </w:rPr>
      </w:pPr>
      <w:r w:rsidRPr="00F24BFA">
        <w:rPr>
          <w:rFonts w:asciiTheme="minorEastAsia" w:hAnsiTheme="minorEastAsia" w:hint="eastAsia"/>
          <w:kern w:val="0"/>
          <w:sz w:val="24"/>
          <w:szCs w:val="24"/>
          <w:fitText w:val="2160" w:id="-1288426239"/>
        </w:rPr>
        <w:t>岸和田市農業委員会</w:t>
      </w:r>
    </w:p>
    <w:p w:rsidR="00A30DE7" w:rsidRPr="00F24BFA" w:rsidRDefault="00A30DE7">
      <w:pPr>
        <w:rPr>
          <w:rFonts w:asciiTheme="minorEastAsia" w:hAnsiTheme="minorEastAsia"/>
          <w:sz w:val="24"/>
          <w:szCs w:val="24"/>
        </w:rPr>
      </w:pPr>
    </w:p>
    <w:p w:rsidR="00002FA6" w:rsidRPr="00F24BFA" w:rsidRDefault="00002FA6">
      <w:pPr>
        <w:rPr>
          <w:rFonts w:asciiTheme="minorEastAsia" w:hAnsiTheme="minorEastAsia"/>
          <w:sz w:val="24"/>
          <w:szCs w:val="24"/>
        </w:rPr>
      </w:pPr>
    </w:p>
    <w:p w:rsidR="00A30DE7" w:rsidRPr="00F24BFA" w:rsidRDefault="00161545" w:rsidP="0050441D">
      <w:pPr>
        <w:pStyle w:val="a3"/>
        <w:numPr>
          <w:ilvl w:val="0"/>
          <w:numId w:val="1"/>
        </w:numPr>
        <w:ind w:leftChars="0"/>
        <w:rPr>
          <w:rFonts w:asciiTheme="minorEastAsia" w:hAnsiTheme="minorEastAsia"/>
          <w:b/>
          <w:sz w:val="24"/>
          <w:szCs w:val="24"/>
        </w:rPr>
      </w:pPr>
      <w:r w:rsidRPr="00F24BFA">
        <w:rPr>
          <w:rFonts w:asciiTheme="minorEastAsia" w:hAnsiTheme="minorEastAsia" w:hint="eastAsia"/>
          <w:b/>
          <w:sz w:val="24"/>
          <w:szCs w:val="24"/>
        </w:rPr>
        <w:t>基本的な考え方</w:t>
      </w:r>
    </w:p>
    <w:p w:rsidR="00676C17" w:rsidRPr="003C1D2B" w:rsidRDefault="00C833DB" w:rsidP="00C833DB">
      <w:pPr>
        <w:ind w:left="585"/>
        <w:rPr>
          <w:rFonts w:asciiTheme="minorEastAsia" w:hAnsiTheme="minorEastAsia"/>
          <w:sz w:val="24"/>
          <w:szCs w:val="24"/>
        </w:rPr>
      </w:pPr>
      <w:r w:rsidRPr="00F24BFA">
        <w:rPr>
          <w:rFonts w:asciiTheme="minorEastAsia" w:hAnsiTheme="minorEastAsia" w:hint="eastAsia"/>
          <w:sz w:val="24"/>
          <w:szCs w:val="24"/>
        </w:rPr>
        <w:t xml:space="preserve">　本市</w:t>
      </w:r>
      <w:r w:rsidR="004F7EDF" w:rsidRPr="00F24BFA">
        <w:rPr>
          <w:rFonts w:asciiTheme="minorEastAsia" w:hAnsiTheme="minorEastAsia" w:hint="eastAsia"/>
          <w:sz w:val="24"/>
          <w:szCs w:val="24"/>
        </w:rPr>
        <w:t>は、大阪市と和歌山市のほぼ中間に位置し、大阪都心から約20ｋｍの立地を活</w:t>
      </w:r>
      <w:r w:rsidR="004F7EDF" w:rsidRPr="003C1D2B">
        <w:rPr>
          <w:rFonts w:asciiTheme="minorEastAsia" w:hAnsiTheme="minorEastAsia" w:hint="eastAsia"/>
          <w:sz w:val="24"/>
          <w:szCs w:val="24"/>
        </w:rPr>
        <w:t>かし、都市</w:t>
      </w:r>
      <w:r w:rsidR="00AE5BE8" w:rsidRPr="003C1D2B">
        <w:rPr>
          <w:rFonts w:asciiTheme="minorEastAsia" w:hAnsiTheme="minorEastAsia" w:hint="eastAsia"/>
          <w:sz w:val="24"/>
          <w:szCs w:val="24"/>
        </w:rPr>
        <w:t>近郊</w:t>
      </w:r>
      <w:r w:rsidRPr="003C1D2B">
        <w:rPr>
          <w:rFonts w:asciiTheme="minorEastAsia" w:hAnsiTheme="minorEastAsia" w:hint="eastAsia"/>
          <w:sz w:val="24"/>
          <w:szCs w:val="24"/>
        </w:rPr>
        <w:t>農業が盛んで、水ナス、軟弱野菜等は大阪府内で上位の出荷を誇</w:t>
      </w:r>
      <w:r w:rsidR="00A85AAE" w:rsidRPr="003C1D2B">
        <w:rPr>
          <w:rFonts w:asciiTheme="minorEastAsia" w:hAnsiTheme="minorEastAsia" w:hint="eastAsia"/>
          <w:sz w:val="24"/>
          <w:szCs w:val="24"/>
        </w:rPr>
        <w:t>る。また、</w:t>
      </w:r>
      <w:r w:rsidRPr="003C1D2B">
        <w:rPr>
          <w:rFonts w:asciiTheme="minorEastAsia" w:hAnsiTheme="minorEastAsia" w:hint="eastAsia"/>
          <w:sz w:val="24"/>
          <w:szCs w:val="24"/>
        </w:rPr>
        <w:t>道の駅「愛彩ランド」にある直売所では</w:t>
      </w:r>
      <w:r w:rsidR="004D62B5" w:rsidRPr="003C1D2B">
        <w:rPr>
          <w:rFonts w:asciiTheme="minorEastAsia" w:hAnsiTheme="minorEastAsia" w:hint="eastAsia"/>
          <w:sz w:val="24"/>
          <w:szCs w:val="24"/>
        </w:rPr>
        <w:t>岸和田産農産物を</w:t>
      </w:r>
      <w:r w:rsidRPr="003C1D2B">
        <w:rPr>
          <w:rFonts w:asciiTheme="minorEastAsia" w:hAnsiTheme="minorEastAsia" w:hint="eastAsia"/>
          <w:sz w:val="24"/>
          <w:szCs w:val="24"/>
        </w:rPr>
        <w:t>販売</w:t>
      </w:r>
      <w:r w:rsidR="00F24BFA" w:rsidRPr="003C1D2B">
        <w:rPr>
          <w:rFonts w:asciiTheme="minorEastAsia" w:hAnsiTheme="minorEastAsia" w:hint="eastAsia"/>
          <w:sz w:val="24"/>
          <w:szCs w:val="24"/>
        </w:rPr>
        <w:t>し、隣接する</w:t>
      </w:r>
      <w:r w:rsidR="00676C17" w:rsidRPr="003C1D2B">
        <w:rPr>
          <w:rFonts w:asciiTheme="minorEastAsia" w:hAnsiTheme="minorEastAsia" w:hint="eastAsia"/>
          <w:sz w:val="24"/>
          <w:szCs w:val="24"/>
        </w:rPr>
        <w:t>丘陵地区</w:t>
      </w:r>
      <w:r w:rsidR="00F174B0" w:rsidRPr="003C1D2B">
        <w:rPr>
          <w:rFonts w:asciiTheme="minorEastAsia" w:hAnsiTheme="minorEastAsia" w:hint="eastAsia"/>
          <w:sz w:val="24"/>
          <w:szCs w:val="24"/>
        </w:rPr>
        <w:t>「農のエリア」</w:t>
      </w:r>
      <w:r w:rsidR="00676C17" w:rsidRPr="003C1D2B">
        <w:rPr>
          <w:rFonts w:asciiTheme="minorEastAsia" w:hAnsiTheme="minorEastAsia" w:hint="eastAsia"/>
          <w:sz w:val="24"/>
          <w:szCs w:val="24"/>
        </w:rPr>
        <w:t>では</w:t>
      </w:r>
      <w:r w:rsidR="00F174B0" w:rsidRPr="003C1D2B">
        <w:rPr>
          <w:rFonts w:asciiTheme="minorEastAsia" w:hAnsiTheme="minorEastAsia" w:hint="eastAsia"/>
          <w:sz w:val="24"/>
          <w:szCs w:val="24"/>
        </w:rPr>
        <w:t>、多様な経営形態に対応した</w:t>
      </w:r>
      <w:r w:rsidR="00466CE4" w:rsidRPr="003C1D2B">
        <w:rPr>
          <w:rFonts w:asciiTheme="minorEastAsia" w:hAnsiTheme="minorEastAsia" w:hint="eastAsia"/>
          <w:sz w:val="24"/>
          <w:szCs w:val="24"/>
        </w:rPr>
        <w:t>、</w:t>
      </w:r>
      <w:r w:rsidR="00F174B0" w:rsidRPr="003C1D2B">
        <w:rPr>
          <w:rFonts w:asciiTheme="minorEastAsia" w:hAnsiTheme="minorEastAsia" w:hint="eastAsia"/>
          <w:sz w:val="24"/>
          <w:szCs w:val="24"/>
        </w:rPr>
        <w:t>農業基盤の整備を進めているところである。</w:t>
      </w:r>
    </w:p>
    <w:p w:rsidR="00C833DB" w:rsidRPr="003C1D2B" w:rsidRDefault="00C833DB" w:rsidP="00E23445">
      <w:pPr>
        <w:ind w:left="585"/>
        <w:rPr>
          <w:rFonts w:asciiTheme="minorEastAsia" w:hAnsiTheme="minorEastAsia"/>
          <w:sz w:val="24"/>
          <w:szCs w:val="24"/>
        </w:rPr>
      </w:pPr>
      <w:r w:rsidRPr="003C1D2B">
        <w:rPr>
          <w:rFonts w:asciiTheme="minorEastAsia" w:hAnsiTheme="minorEastAsia" w:hint="eastAsia"/>
          <w:sz w:val="24"/>
          <w:szCs w:val="24"/>
        </w:rPr>
        <w:t xml:space="preserve">　しかしながら、</w:t>
      </w:r>
      <w:r w:rsidR="004F7EDF" w:rsidRPr="003C1D2B">
        <w:rPr>
          <w:rFonts w:asciiTheme="minorEastAsia" w:hAnsiTheme="minorEastAsia" w:hint="eastAsia"/>
          <w:sz w:val="24"/>
          <w:szCs w:val="24"/>
        </w:rPr>
        <w:t>都市化の進行による農地の減少、</w:t>
      </w:r>
      <w:r w:rsidRPr="003C1D2B">
        <w:rPr>
          <w:rFonts w:asciiTheme="minorEastAsia" w:hAnsiTheme="minorEastAsia" w:hint="eastAsia"/>
          <w:sz w:val="24"/>
          <w:szCs w:val="24"/>
        </w:rPr>
        <w:t>農業従事者の高齢化や後継者不足による遊休農地の増加</w:t>
      </w:r>
      <w:r w:rsidR="00F174B0" w:rsidRPr="003C1D2B">
        <w:rPr>
          <w:rFonts w:asciiTheme="minorEastAsia" w:hAnsiTheme="minorEastAsia" w:hint="eastAsia"/>
          <w:sz w:val="24"/>
          <w:szCs w:val="24"/>
        </w:rPr>
        <w:t>、担い手不足</w:t>
      </w:r>
      <w:r w:rsidRPr="003C1D2B">
        <w:rPr>
          <w:rFonts w:asciiTheme="minorEastAsia" w:hAnsiTheme="minorEastAsia" w:hint="eastAsia"/>
          <w:sz w:val="24"/>
          <w:szCs w:val="24"/>
        </w:rPr>
        <w:t>が問題となっている。</w:t>
      </w:r>
    </w:p>
    <w:p w:rsidR="00C833DB" w:rsidRPr="003C1D2B" w:rsidRDefault="0050441D" w:rsidP="00102C9C">
      <w:pPr>
        <w:ind w:left="585"/>
        <w:rPr>
          <w:rFonts w:asciiTheme="minorEastAsia" w:hAnsiTheme="minorEastAsia"/>
          <w:sz w:val="24"/>
          <w:szCs w:val="24"/>
        </w:rPr>
      </w:pPr>
      <w:r w:rsidRPr="003C1D2B">
        <w:rPr>
          <w:rFonts w:asciiTheme="minorEastAsia" w:hAnsiTheme="minorEastAsia" w:hint="eastAsia"/>
          <w:sz w:val="24"/>
          <w:szCs w:val="24"/>
        </w:rPr>
        <w:t xml:space="preserve">　</w:t>
      </w:r>
      <w:r w:rsidR="004F7EDF" w:rsidRPr="003C1D2B">
        <w:rPr>
          <w:rFonts w:asciiTheme="minorEastAsia" w:hAnsiTheme="minorEastAsia" w:hint="eastAsia"/>
          <w:sz w:val="24"/>
          <w:szCs w:val="24"/>
        </w:rPr>
        <w:t>このような状況の中、</w:t>
      </w:r>
      <w:r w:rsidRPr="003C1D2B">
        <w:rPr>
          <w:rFonts w:asciiTheme="minorEastAsia" w:hAnsiTheme="minorEastAsia" w:hint="eastAsia"/>
          <w:sz w:val="24"/>
          <w:szCs w:val="24"/>
        </w:rPr>
        <w:t>農業委員会等に関する法律（昭和26年法律第88号。以下「法」という。）の改正法が平成28年４月１日に施行され、</w:t>
      </w:r>
      <w:r w:rsidR="00DC0CC0" w:rsidRPr="003C1D2B">
        <w:rPr>
          <w:rFonts w:asciiTheme="minorEastAsia" w:hAnsiTheme="minorEastAsia" w:hint="eastAsia"/>
          <w:sz w:val="24"/>
          <w:szCs w:val="24"/>
        </w:rPr>
        <w:t>農業委員会においては「農地等の利用の最適化の推進</w:t>
      </w:r>
      <w:r w:rsidR="00E23445" w:rsidRPr="003C1D2B">
        <w:rPr>
          <w:rFonts w:asciiTheme="minorEastAsia" w:hAnsiTheme="minorEastAsia" w:hint="eastAsia"/>
          <w:sz w:val="24"/>
          <w:szCs w:val="24"/>
        </w:rPr>
        <w:t>（①遊休農地の発生防止・解消、②担い手への農地利用集積・集約化、新規参入）」が最も重要な</w:t>
      </w:r>
      <w:r w:rsidR="00A85AAE" w:rsidRPr="003C1D2B">
        <w:rPr>
          <w:rFonts w:asciiTheme="minorEastAsia" w:hAnsiTheme="minorEastAsia" w:hint="eastAsia"/>
          <w:sz w:val="24"/>
          <w:szCs w:val="24"/>
        </w:rPr>
        <w:t>必須事務として明確に</w:t>
      </w:r>
      <w:r w:rsidR="00DC0CC0" w:rsidRPr="003C1D2B">
        <w:rPr>
          <w:rFonts w:asciiTheme="minorEastAsia" w:hAnsiTheme="minorEastAsia" w:hint="eastAsia"/>
          <w:sz w:val="24"/>
          <w:szCs w:val="24"/>
        </w:rPr>
        <w:t>位置づけられた。</w:t>
      </w:r>
    </w:p>
    <w:p w:rsidR="001314C5" w:rsidRPr="003C1D2B" w:rsidRDefault="001314C5" w:rsidP="00C833DB">
      <w:pPr>
        <w:ind w:left="585"/>
        <w:rPr>
          <w:rFonts w:asciiTheme="minorEastAsia" w:hAnsiTheme="minorEastAsia"/>
          <w:sz w:val="24"/>
          <w:szCs w:val="24"/>
        </w:rPr>
      </w:pPr>
      <w:r w:rsidRPr="003C1D2B">
        <w:rPr>
          <w:rFonts w:asciiTheme="minorEastAsia" w:hAnsiTheme="minorEastAsia" w:hint="eastAsia"/>
          <w:sz w:val="24"/>
          <w:szCs w:val="24"/>
        </w:rPr>
        <w:t xml:space="preserve">　さらに、都市農業・農地に係る制度は、平成27年4月に都市農業振興基本法が制定されたことにより</w:t>
      </w:r>
      <w:r w:rsidR="00466CE4" w:rsidRPr="003C1D2B">
        <w:rPr>
          <w:rFonts w:asciiTheme="minorEastAsia" w:hAnsiTheme="minorEastAsia" w:hint="eastAsia"/>
          <w:sz w:val="24"/>
          <w:szCs w:val="24"/>
        </w:rPr>
        <w:t>、</w:t>
      </w:r>
      <w:r w:rsidRPr="003C1D2B">
        <w:rPr>
          <w:rFonts w:asciiTheme="minorEastAsia" w:hAnsiTheme="minorEastAsia" w:hint="eastAsia"/>
          <w:sz w:val="24"/>
          <w:szCs w:val="24"/>
        </w:rPr>
        <w:t>大きく転換した。これまで、市街化農地は「宅地化」するものと位置付けられていたものが、</w:t>
      </w:r>
      <w:r w:rsidR="008E3010" w:rsidRPr="003C1D2B">
        <w:rPr>
          <w:rFonts w:asciiTheme="minorEastAsia" w:hAnsiTheme="minorEastAsia" w:hint="eastAsia"/>
          <w:sz w:val="24"/>
          <w:szCs w:val="24"/>
        </w:rPr>
        <w:t>「都市にあるべきもの」とされ、都市農地の更なる保全・活用が見込まれている。</w:t>
      </w:r>
    </w:p>
    <w:p w:rsidR="008E3010" w:rsidRPr="003C1D2B" w:rsidRDefault="008E3010" w:rsidP="00C833DB">
      <w:pPr>
        <w:ind w:left="585"/>
        <w:rPr>
          <w:rFonts w:asciiTheme="minorEastAsia" w:hAnsiTheme="minorEastAsia"/>
          <w:sz w:val="24"/>
          <w:szCs w:val="24"/>
        </w:rPr>
      </w:pPr>
      <w:r w:rsidRPr="003C1D2B">
        <w:rPr>
          <w:rFonts w:asciiTheme="minorEastAsia" w:hAnsiTheme="minorEastAsia" w:hint="eastAsia"/>
          <w:sz w:val="24"/>
          <w:szCs w:val="24"/>
        </w:rPr>
        <w:t xml:space="preserve">　このことから、農業委員会では、農業経営環境の強化のため、行政、農業関係団体との連携を図りながら、</w:t>
      </w:r>
      <w:r w:rsidR="00D37B18" w:rsidRPr="003C1D2B">
        <w:rPr>
          <w:rFonts w:asciiTheme="minorEastAsia" w:hAnsiTheme="minorEastAsia" w:hint="eastAsia"/>
          <w:sz w:val="24"/>
          <w:szCs w:val="24"/>
        </w:rPr>
        <w:t>地域の農業者に対し、積極的に営農や農地に関する情報について発信、周知に努めるとともに、話し合いを進めていくことが</w:t>
      </w:r>
      <w:r w:rsidR="00102C9C" w:rsidRPr="003C1D2B">
        <w:rPr>
          <w:rFonts w:asciiTheme="minorEastAsia" w:hAnsiTheme="minorEastAsia" w:hint="eastAsia"/>
          <w:sz w:val="24"/>
          <w:szCs w:val="24"/>
        </w:rPr>
        <w:t>重要であると考えられる。</w:t>
      </w:r>
    </w:p>
    <w:p w:rsidR="00F174B0" w:rsidRPr="003C1D2B" w:rsidRDefault="00102C9C" w:rsidP="0050441D">
      <w:pPr>
        <w:ind w:left="585"/>
        <w:rPr>
          <w:rFonts w:asciiTheme="minorEastAsia" w:hAnsiTheme="minorEastAsia"/>
          <w:sz w:val="24"/>
          <w:szCs w:val="24"/>
        </w:rPr>
      </w:pPr>
      <w:r w:rsidRPr="003C1D2B">
        <w:rPr>
          <w:rFonts w:asciiTheme="minorEastAsia" w:hAnsiTheme="minorEastAsia" w:hint="eastAsia"/>
          <w:sz w:val="24"/>
          <w:szCs w:val="24"/>
        </w:rPr>
        <w:t xml:space="preserve">　ついては、本市の</w:t>
      </w:r>
      <w:r w:rsidR="00F174B0" w:rsidRPr="003C1D2B">
        <w:rPr>
          <w:rFonts w:asciiTheme="minorEastAsia" w:hAnsiTheme="minorEastAsia" w:hint="eastAsia"/>
          <w:sz w:val="24"/>
          <w:szCs w:val="24"/>
        </w:rPr>
        <w:t>特色である都市近郊農業の持続と発展を図るため、農業委員会等に関する法律第７条第１項の規定に基づき</w:t>
      </w:r>
      <w:r w:rsidR="00466CE4" w:rsidRPr="003C1D2B">
        <w:rPr>
          <w:rFonts w:asciiTheme="minorEastAsia" w:hAnsiTheme="minorEastAsia" w:hint="eastAsia"/>
          <w:sz w:val="24"/>
          <w:szCs w:val="24"/>
        </w:rPr>
        <w:t>、</w:t>
      </w:r>
      <w:r w:rsidR="00F174B0" w:rsidRPr="003C1D2B">
        <w:rPr>
          <w:rFonts w:asciiTheme="minorEastAsia" w:hAnsiTheme="minorEastAsia" w:hint="eastAsia"/>
          <w:sz w:val="24"/>
          <w:szCs w:val="24"/>
        </w:rPr>
        <w:t>「農地等の利用の最適化に関する指針」について</w:t>
      </w:r>
      <w:r w:rsidR="00466CE4" w:rsidRPr="003C1D2B">
        <w:rPr>
          <w:rFonts w:asciiTheme="minorEastAsia" w:hAnsiTheme="minorEastAsia" w:hint="eastAsia"/>
          <w:sz w:val="24"/>
          <w:szCs w:val="24"/>
        </w:rPr>
        <w:t>、</w:t>
      </w:r>
      <w:r w:rsidR="00F174B0" w:rsidRPr="003C1D2B">
        <w:rPr>
          <w:rFonts w:asciiTheme="minorEastAsia" w:hAnsiTheme="minorEastAsia" w:hint="eastAsia"/>
          <w:sz w:val="24"/>
          <w:szCs w:val="24"/>
        </w:rPr>
        <w:t>次のとおり定めるものである。</w:t>
      </w:r>
    </w:p>
    <w:p w:rsidR="00F779A3" w:rsidRPr="003C1D2B" w:rsidRDefault="00F24BFA" w:rsidP="00F24BFA">
      <w:pPr>
        <w:ind w:left="585"/>
        <w:rPr>
          <w:rFonts w:asciiTheme="minorEastAsia" w:hAnsiTheme="minorEastAsia"/>
          <w:sz w:val="24"/>
          <w:szCs w:val="24"/>
        </w:rPr>
      </w:pPr>
      <w:r w:rsidRPr="003C1D2B">
        <w:rPr>
          <w:rFonts w:asciiTheme="minorEastAsia" w:hAnsiTheme="minorEastAsia" w:hint="eastAsia"/>
          <w:sz w:val="24"/>
          <w:szCs w:val="24"/>
        </w:rPr>
        <w:t xml:space="preserve">　なお、この指針について、農業委員会にて見直しが必要とされた場合は、随時見直しを行う。</w:t>
      </w:r>
    </w:p>
    <w:p w:rsidR="00BB327F" w:rsidRDefault="00BB327F">
      <w:pPr>
        <w:widowControl/>
        <w:jc w:val="left"/>
        <w:rPr>
          <w:rFonts w:asciiTheme="minorEastAsia" w:hAnsiTheme="minorEastAsia"/>
          <w:sz w:val="24"/>
          <w:szCs w:val="24"/>
        </w:rPr>
      </w:pPr>
      <w:r>
        <w:rPr>
          <w:rFonts w:asciiTheme="minorEastAsia" w:hAnsiTheme="minorEastAsia"/>
          <w:sz w:val="24"/>
          <w:szCs w:val="24"/>
        </w:rPr>
        <w:br w:type="page"/>
      </w:r>
    </w:p>
    <w:p w:rsidR="0050441D" w:rsidRPr="00FE08E7" w:rsidRDefault="0050441D" w:rsidP="0050441D">
      <w:pPr>
        <w:pStyle w:val="a3"/>
        <w:numPr>
          <w:ilvl w:val="0"/>
          <w:numId w:val="1"/>
        </w:numPr>
        <w:ind w:leftChars="0"/>
        <w:rPr>
          <w:rFonts w:asciiTheme="minorEastAsia" w:hAnsiTheme="minorEastAsia"/>
          <w:b/>
          <w:sz w:val="24"/>
          <w:szCs w:val="24"/>
        </w:rPr>
      </w:pPr>
      <w:r w:rsidRPr="00FE08E7">
        <w:rPr>
          <w:rFonts w:asciiTheme="minorEastAsia" w:hAnsiTheme="minorEastAsia" w:hint="eastAsia"/>
          <w:b/>
          <w:sz w:val="24"/>
          <w:szCs w:val="24"/>
        </w:rPr>
        <w:lastRenderedPageBreak/>
        <w:t>具体的な目標と取り組み方法</w:t>
      </w:r>
    </w:p>
    <w:p w:rsidR="00B542E4" w:rsidRPr="003C1D2B" w:rsidRDefault="00F24BFA" w:rsidP="00F24BFA">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遊休農地の発生</w:t>
      </w:r>
      <w:r w:rsidRPr="003C1D2B">
        <w:rPr>
          <w:rFonts w:asciiTheme="minorEastAsia" w:hAnsiTheme="minorEastAsia" w:hint="eastAsia"/>
          <w:sz w:val="24"/>
          <w:szCs w:val="24"/>
        </w:rPr>
        <w:t>防止・解消の評価方法</w:t>
      </w:r>
      <w:r w:rsidR="00B542E4" w:rsidRPr="003C1D2B">
        <w:rPr>
          <w:rFonts w:asciiTheme="minorEastAsia" w:hAnsiTheme="minorEastAsia" w:hint="eastAsia"/>
          <w:sz w:val="24"/>
          <w:szCs w:val="24"/>
        </w:rPr>
        <w:t>について</w:t>
      </w:r>
    </w:p>
    <w:p w:rsidR="00F24BFA" w:rsidRPr="003C1D2B" w:rsidRDefault="00F24BFA" w:rsidP="00F24BFA">
      <w:pPr>
        <w:rPr>
          <w:rFonts w:asciiTheme="minorEastAsia" w:hAnsiTheme="minorEastAsia"/>
          <w:sz w:val="24"/>
          <w:szCs w:val="24"/>
        </w:rPr>
      </w:pPr>
      <w:r w:rsidRPr="003C1D2B">
        <w:rPr>
          <w:rFonts w:asciiTheme="minorEastAsia" w:hAnsiTheme="minorEastAsia" w:hint="eastAsia"/>
          <w:sz w:val="24"/>
          <w:szCs w:val="24"/>
        </w:rPr>
        <w:t xml:space="preserve">　　　遊休農地の発生防止・解消の進捗状況は、遊休農地の割合により評価す</w:t>
      </w:r>
      <w:r w:rsidR="00A85AAE" w:rsidRPr="003C1D2B">
        <w:rPr>
          <w:rFonts w:asciiTheme="minorEastAsia" w:hAnsiTheme="minorEastAsia" w:hint="eastAsia"/>
          <w:sz w:val="24"/>
          <w:szCs w:val="24"/>
        </w:rPr>
        <w:t>る。</w:t>
      </w:r>
    </w:p>
    <w:p w:rsidR="00A85AAE" w:rsidRPr="003C1D2B" w:rsidRDefault="00F24BFA" w:rsidP="00A85AAE">
      <w:pPr>
        <w:rPr>
          <w:rFonts w:asciiTheme="minorEastAsia" w:hAnsiTheme="minorEastAsia"/>
          <w:sz w:val="24"/>
          <w:szCs w:val="24"/>
        </w:rPr>
      </w:pPr>
      <w:r w:rsidRPr="003C1D2B">
        <w:rPr>
          <w:rFonts w:asciiTheme="minorEastAsia" w:hAnsiTheme="minorEastAsia" w:hint="eastAsia"/>
          <w:sz w:val="24"/>
          <w:szCs w:val="24"/>
        </w:rPr>
        <w:t xml:space="preserve">　　　単年度の評価については、「農業委員会による最適化活動の推進等について」</w:t>
      </w:r>
    </w:p>
    <w:p w:rsidR="00A85AAE" w:rsidRPr="003C1D2B" w:rsidRDefault="00A85AAE" w:rsidP="00A85AAE">
      <w:pPr>
        <w:rPr>
          <w:rFonts w:asciiTheme="minorEastAsia" w:hAnsiTheme="minorEastAsia"/>
          <w:sz w:val="24"/>
          <w:szCs w:val="24"/>
        </w:rPr>
      </w:pPr>
      <w:r w:rsidRPr="003C1D2B">
        <w:rPr>
          <w:rFonts w:asciiTheme="minorEastAsia" w:hAnsiTheme="minorEastAsia" w:hint="eastAsia"/>
          <w:sz w:val="24"/>
          <w:szCs w:val="24"/>
        </w:rPr>
        <w:t xml:space="preserve">　　</w:t>
      </w:r>
      <w:r w:rsidR="00F24BFA" w:rsidRPr="003C1D2B">
        <w:rPr>
          <w:rFonts w:asciiTheme="minorEastAsia" w:hAnsiTheme="minorEastAsia" w:hint="eastAsia"/>
          <w:sz w:val="24"/>
          <w:szCs w:val="24"/>
        </w:rPr>
        <w:t>に基づく「農業委員会の農地利用の最適化の推進の状況その他事務の実施状況の</w:t>
      </w:r>
    </w:p>
    <w:p w:rsidR="00F24BFA" w:rsidRPr="003C1D2B" w:rsidRDefault="00A85AAE" w:rsidP="00A85AAE">
      <w:pPr>
        <w:rPr>
          <w:rFonts w:asciiTheme="minorEastAsia" w:hAnsiTheme="minorEastAsia"/>
          <w:sz w:val="24"/>
          <w:szCs w:val="24"/>
        </w:rPr>
      </w:pPr>
      <w:r w:rsidRPr="003C1D2B">
        <w:rPr>
          <w:rFonts w:asciiTheme="minorEastAsia" w:hAnsiTheme="minorEastAsia" w:hint="eastAsia"/>
          <w:sz w:val="24"/>
          <w:szCs w:val="24"/>
        </w:rPr>
        <w:t xml:space="preserve">　　</w:t>
      </w:r>
      <w:r w:rsidR="00F24BFA" w:rsidRPr="003C1D2B">
        <w:rPr>
          <w:rFonts w:asciiTheme="minorEastAsia" w:hAnsiTheme="minorEastAsia" w:hint="eastAsia"/>
          <w:sz w:val="24"/>
          <w:szCs w:val="24"/>
        </w:rPr>
        <w:t>公表」のとおりとする。</w:t>
      </w:r>
    </w:p>
    <w:p w:rsidR="00470442" w:rsidRPr="00F24BFA" w:rsidRDefault="00470442" w:rsidP="00F24BFA">
      <w:pPr>
        <w:pStyle w:val="a3"/>
        <w:ind w:leftChars="0" w:left="570"/>
        <w:rPr>
          <w:rFonts w:asciiTheme="minorEastAsia" w:hAnsiTheme="minorEastAsia"/>
          <w:color w:val="FF0000"/>
          <w:sz w:val="24"/>
          <w:szCs w:val="24"/>
        </w:rPr>
      </w:pPr>
    </w:p>
    <w:p w:rsidR="00C4724F" w:rsidRPr="00F779A3" w:rsidRDefault="00C4724F" w:rsidP="00C4724F">
      <w:pPr>
        <w:pStyle w:val="a3"/>
        <w:numPr>
          <w:ilvl w:val="0"/>
          <w:numId w:val="4"/>
        </w:numPr>
        <w:ind w:leftChars="0"/>
        <w:rPr>
          <w:rFonts w:asciiTheme="minorEastAsia" w:hAnsiTheme="minorEastAsia"/>
          <w:sz w:val="24"/>
          <w:szCs w:val="24"/>
        </w:rPr>
      </w:pPr>
      <w:r w:rsidRPr="00F779A3">
        <w:rPr>
          <w:rFonts w:asciiTheme="minorEastAsia" w:hAnsiTheme="minorEastAsia" w:hint="eastAsia"/>
          <w:sz w:val="24"/>
          <w:szCs w:val="24"/>
        </w:rPr>
        <w:t>遊休農地の解消目標</w:t>
      </w:r>
    </w:p>
    <w:p w:rsidR="00EF6EA2" w:rsidRDefault="00447DFC" w:rsidP="00EF6EA2">
      <w:pPr>
        <w:rPr>
          <w:rFonts w:asciiTheme="minorEastAsia" w:hAnsiTheme="minorEastAsia"/>
          <w:sz w:val="24"/>
          <w:szCs w:val="24"/>
        </w:rPr>
      </w:pPr>
      <w:r>
        <w:rPr>
          <w:rFonts w:asciiTheme="minorEastAsia" w:hAnsiTheme="minorEastAsia" w:hint="eastAsia"/>
          <w:sz w:val="24"/>
          <w:szCs w:val="24"/>
        </w:rPr>
        <w:t xml:space="preserve">　　　　　遊休農地の割合１％未満を維持する。</w:t>
      </w:r>
    </w:p>
    <w:p w:rsidR="00253041" w:rsidRPr="00F779A3" w:rsidRDefault="00253041" w:rsidP="00EF6EA2">
      <w:pPr>
        <w:rPr>
          <w:rFonts w:asciiTheme="minorEastAsia" w:hAnsiTheme="minorEastAsia"/>
          <w:sz w:val="24"/>
          <w:szCs w:val="24"/>
        </w:rPr>
      </w:pPr>
    </w:p>
    <w:p w:rsidR="00C4724F" w:rsidRPr="00F779A3" w:rsidRDefault="00C4724F" w:rsidP="00C4724F">
      <w:pPr>
        <w:pStyle w:val="a3"/>
        <w:numPr>
          <w:ilvl w:val="0"/>
          <w:numId w:val="4"/>
        </w:numPr>
        <w:ind w:leftChars="0"/>
        <w:rPr>
          <w:rFonts w:asciiTheme="minorEastAsia" w:hAnsiTheme="minorEastAsia"/>
          <w:sz w:val="24"/>
          <w:szCs w:val="24"/>
        </w:rPr>
      </w:pPr>
      <w:r w:rsidRPr="00F779A3">
        <w:rPr>
          <w:rFonts w:asciiTheme="minorEastAsia" w:hAnsiTheme="minorEastAsia" w:hint="eastAsia"/>
          <w:sz w:val="24"/>
          <w:szCs w:val="24"/>
        </w:rPr>
        <w:t>遊休農地の発生防止・解消の具体的な推進方法</w:t>
      </w:r>
    </w:p>
    <w:p w:rsidR="00D87BBE" w:rsidRPr="00F779A3" w:rsidRDefault="00253041" w:rsidP="00253041">
      <w:pPr>
        <w:pStyle w:val="a3"/>
        <w:numPr>
          <w:ilvl w:val="0"/>
          <w:numId w:val="7"/>
        </w:numPr>
        <w:ind w:leftChars="0"/>
        <w:rPr>
          <w:rFonts w:asciiTheme="minorEastAsia" w:hAnsiTheme="minorEastAsia"/>
          <w:sz w:val="24"/>
          <w:szCs w:val="24"/>
        </w:rPr>
      </w:pPr>
      <w:r>
        <w:rPr>
          <w:rFonts w:asciiTheme="minorEastAsia" w:hAnsiTheme="minorEastAsia" w:hint="eastAsia"/>
          <w:sz w:val="24"/>
          <w:szCs w:val="24"/>
        </w:rPr>
        <w:t xml:space="preserve">　</w:t>
      </w:r>
      <w:r w:rsidR="002D553E" w:rsidRPr="00F779A3">
        <w:rPr>
          <w:rFonts w:asciiTheme="minorEastAsia" w:hAnsiTheme="minorEastAsia" w:hint="eastAsia"/>
          <w:sz w:val="24"/>
          <w:szCs w:val="24"/>
        </w:rPr>
        <w:t>農地法第30条第１項による「農地利用状況調査」を、</w:t>
      </w:r>
      <w:r w:rsidR="00376D62" w:rsidRPr="00F779A3">
        <w:rPr>
          <w:rFonts w:asciiTheme="minorEastAsia" w:hAnsiTheme="minorEastAsia" w:hint="eastAsia"/>
          <w:sz w:val="24"/>
          <w:szCs w:val="24"/>
        </w:rPr>
        <w:t>農業委員と農地利用最適化推進委員（以下「推進委員」という。）</w:t>
      </w:r>
      <w:r w:rsidR="00964036" w:rsidRPr="00F779A3">
        <w:rPr>
          <w:rFonts w:asciiTheme="minorEastAsia" w:hAnsiTheme="minorEastAsia" w:hint="eastAsia"/>
          <w:sz w:val="24"/>
          <w:szCs w:val="24"/>
        </w:rPr>
        <w:t>の連携により実施し、実施結果に基づき、法第32条第１項の「農地の利用意向調査」を実施する。</w:t>
      </w:r>
      <w:r w:rsidR="00D87BBE" w:rsidRPr="00F779A3">
        <w:rPr>
          <w:rFonts w:asciiTheme="minorEastAsia" w:hAnsiTheme="minorEastAsia" w:hint="eastAsia"/>
          <w:sz w:val="24"/>
          <w:szCs w:val="24"/>
        </w:rPr>
        <w:t>具体的には、「利用状況調査(農地パトロール)の実施手順書」に基づき実施する。</w:t>
      </w:r>
    </w:p>
    <w:p w:rsidR="00376D62" w:rsidRPr="00F779A3" w:rsidRDefault="002D553E" w:rsidP="00376D62">
      <w:pPr>
        <w:pStyle w:val="a3"/>
        <w:numPr>
          <w:ilvl w:val="0"/>
          <w:numId w:val="7"/>
        </w:numPr>
        <w:ind w:leftChars="0"/>
        <w:rPr>
          <w:rFonts w:asciiTheme="minorEastAsia" w:hAnsiTheme="minorEastAsia"/>
          <w:sz w:val="24"/>
          <w:szCs w:val="24"/>
        </w:rPr>
      </w:pPr>
      <w:r w:rsidRPr="00F779A3">
        <w:rPr>
          <w:rFonts w:asciiTheme="minorEastAsia" w:hAnsiTheme="minorEastAsia" w:hint="eastAsia"/>
          <w:sz w:val="24"/>
          <w:szCs w:val="24"/>
        </w:rPr>
        <w:t xml:space="preserve">　</w:t>
      </w:r>
      <w:r w:rsidR="00505A8C" w:rsidRPr="00F779A3">
        <w:rPr>
          <w:rFonts w:asciiTheme="minorEastAsia" w:hAnsiTheme="minorEastAsia" w:hint="eastAsia"/>
          <w:sz w:val="24"/>
          <w:szCs w:val="24"/>
        </w:rPr>
        <w:t>農地パトロールについては、農地利用状況調査の時期にかかわらず、違反転用の発生防止・早期発見等、農地の適正</w:t>
      </w:r>
      <w:r w:rsidR="008E6C09" w:rsidRPr="00F779A3">
        <w:rPr>
          <w:rFonts w:asciiTheme="minorEastAsia" w:hAnsiTheme="minorEastAsia" w:hint="eastAsia"/>
          <w:sz w:val="24"/>
          <w:szCs w:val="24"/>
        </w:rPr>
        <w:t>な利用の確認に関する現場活動として適宜実施する。</w:t>
      </w:r>
    </w:p>
    <w:p w:rsidR="00DE2C12" w:rsidRPr="00F779A3" w:rsidRDefault="00DE2C12" w:rsidP="00376D62">
      <w:pPr>
        <w:pStyle w:val="a3"/>
        <w:numPr>
          <w:ilvl w:val="0"/>
          <w:numId w:val="7"/>
        </w:numPr>
        <w:ind w:leftChars="0"/>
        <w:rPr>
          <w:rFonts w:asciiTheme="minorEastAsia" w:hAnsiTheme="minorEastAsia"/>
          <w:sz w:val="24"/>
          <w:szCs w:val="24"/>
        </w:rPr>
      </w:pPr>
      <w:r w:rsidRPr="00F779A3">
        <w:rPr>
          <w:rFonts w:asciiTheme="minorEastAsia" w:hAnsiTheme="minorEastAsia" w:hint="eastAsia"/>
          <w:sz w:val="24"/>
          <w:szCs w:val="24"/>
        </w:rPr>
        <w:t xml:space="preserve">　利用意向調査の結果を受け、農地中間管理機構へ貸し出しを希望する農家については、漏れなく農地中間管理機構への手続が行えるようにする。</w:t>
      </w:r>
    </w:p>
    <w:p w:rsidR="00EC1427" w:rsidRPr="00F779A3" w:rsidRDefault="007647E1" w:rsidP="00376D62">
      <w:pPr>
        <w:pStyle w:val="a3"/>
        <w:numPr>
          <w:ilvl w:val="0"/>
          <w:numId w:val="7"/>
        </w:numPr>
        <w:ind w:leftChars="0"/>
        <w:rPr>
          <w:rFonts w:asciiTheme="minorEastAsia" w:hAnsiTheme="minorEastAsia"/>
          <w:sz w:val="24"/>
          <w:szCs w:val="24"/>
        </w:rPr>
      </w:pPr>
      <w:r w:rsidRPr="00F779A3">
        <w:rPr>
          <w:rFonts w:asciiTheme="minorEastAsia" w:hAnsiTheme="minorEastAsia" w:hint="eastAsia"/>
          <w:sz w:val="24"/>
          <w:szCs w:val="24"/>
        </w:rPr>
        <w:t xml:space="preserve">　</w:t>
      </w:r>
      <w:r w:rsidR="00EC1427" w:rsidRPr="00F779A3">
        <w:rPr>
          <w:rFonts w:asciiTheme="minorEastAsia" w:hAnsiTheme="minorEastAsia" w:hint="eastAsia"/>
          <w:sz w:val="24"/>
          <w:szCs w:val="24"/>
        </w:rPr>
        <w:t>復元可能な遊休農地については、「岸和田市荒廃農地解消対策補助金</w:t>
      </w:r>
      <w:r w:rsidRPr="00F779A3">
        <w:rPr>
          <w:rFonts w:asciiTheme="minorEastAsia" w:hAnsiTheme="minorEastAsia" w:hint="eastAsia"/>
          <w:sz w:val="24"/>
          <w:szCs w:val="24"/>
        </w:rPr>
        <w:t>交付要綱」に基づき、農地の</w:t>
      </w:r>
      <w:r w:rsidR="00D92EA0" w:rsidRPr="00F779A3">
        <w:rPr>
          <w:rFonts w:asciiTheme="minorEastAsia" w:hAnsiTheme="minorEastAsia" w:hint="eastAsia"/>
          <w:sz w:val="24"/>
          <w:szCs w:val="24"/>
        </w:rPr>
        <w:t>復元及び担い手への集約に努める。</w:t>
      </w:r>
    </w:p>
    <w:p w:rsidR="00DE2C12" w:rsidRPr="00F779A3" w:rsidRDefault="00253041" w:rsidP="00376D62">
      <w:pPr>
        <w:pStyle w:val="a3"/>
        <w:numPr>
          <w:ilvl w:val="0"/>
          <w:numId w:val="7"/>
        </w:numPr>
        <w:ind w:leftChars="0"/>
        <w:rPr>
          <w:rFonts w:asciiTheme="minorEastAsia" w:hAnsiTheme="minorEastAsia"/>
          <w:sz w:val="24"/>
          <w:szCs w:val="24"/>
        </w:rPr>
      </w:pPr>
      <w:r>
        <w:rPr>
          <w:rFonts w:asciiTheme="minorEastAsia" w:hAnsiTheme="minorEastAsia" w:hint="eastAsia"/>
          <w:sz w:val="24"/>
          <w:szCs w:val="24"/>
        </w:rPr>
        <w:t xml:space="preserve">　</w:t>
      </w:r>
      <w:r w:rsidR="00F82FEB" w:rsidRPr="00F779A3">
        <w:rPr>
          <w:rFonts w:asciiTheme="minorEastAsia" w:hAnsiTheme="minorEastAsia" w:hint="eastAsia"/>
          <w:sz w:val="24"/>
          <w:szCs w:val="24"/>
        </w:rPr>
        <w:t>「農地利用状況調査」の結果</w:t>
      </w:r>
      <w:r>
        <w:rPr>
          <w:rFonts w:asciiTheme="minorEastAsia" w:hAnsiTheme="minorEastAsia" w:hint="eastAsia"/>
          <w:sz w:val="24"/>
          <w:szCs w:val="24"/>
        </w:rPr>
        <w:t>、</w:t>
      </w:r>
      <w:r w:rsidR="00F82FEB" w:rsidRPr="00F779A3">
        <w:rPr>
          <w:rFonts w:asciiTheme="minorEastAsia" w:hAnsiTheme="minorEastAsia" w:hint="eastAsia"/>
          <w:sz w:val="24"/>
          <w:szCs w:val="24"/>
        </w:rPr>
        <w:t>Ｂ分類（再生利用困難）に区分された荒廃農地については、現況に応じて速やかに「非農地」判断を行い、守るべき農地を明確にする。</w:t>
      </w:r>
    </w:p>
    <w:p w:rsidR="00F174B0" w:rsidRPr="00F779A3" w:rsidRDefault="00F174B0" w:rsidP="00F174B0">
      <w:pPr>
        <w:rPr>
          <w:rFonts w:asciiTheme="minorEastAsia" w:hAnsiTheme="minorEastAsia"/>
          <w:sz w:val="24"/>
          <w:szCs w:val="24"/>
        </w:rPr>
      </w:pPr>
    </w:p>
    <w:p w:rsidR="00B542E4" w:rsidRPr="00F779A3" w:rsidRDefault="00B542E4" w:rsidP="00B542E4">
      <w:pPr>
        <w:pStyle w:val="a3"/>
        <w:numPr>
          <w:ilvl w:val="0"/>
          <w:numId w:val="2"/>
        </w:numPr>
        <w:ind w:leftChars="0"/>
        <w:rPr>
          <w:rFonts w:asciiTheme="minorEastAsia" w:hAnsiTheme="minorEastAsia"/>
          <w:sz w:val="24"/>
          <w:szCs w:val="24"/>
        </w:rPr>
      </w:pPr>
      <w:r w:rsidRPr="00F779A3">
        <w:rPr>
          <w:rFonts w:asciiTheme="minorEastAsia" w:hAnsiTheme="minorEastAsia" w:hint="eastAsia"/>
          <w:sz w:val="24"/>
          <w:szCs w:val="24"/>
        </w:rPr>
        <w:t>担い手への農地利用の集積・集約化について</w:t>
      </w:r>
    </w:p>
    <w:p w:rsidR="00C4724F" w:rsidRPr="00F779A3" w:rsidRDefault="00C4724F" w:rsidP="00C4724F">
      <w:pPr>
        <w:pStyle w:val="a3"/>
        <w:numPr>
          <w:ilvl w:val="0"/>
          <w:numId w:val="5"/>
        </w:numPr>
        <w:ind w:leftChars="0"/>
        <w:rPr>
          <w:rFonts w:asciiTheme="minorEastAsia" w:hAnsiTheme="minorEastAsia"/>
          <w:sz w:val="24"/>
          <w:szCs w:val="24"/>
        </w:rPr>
      </w:pPr>
      <w:r w:rsidRPr="00F779A3">
        <w:rPr>
          <w:rFonts w:asciiTheme="minorEastAsia" w:hAnsiTheme="minorEastAsia" w:hint="eastAsia"/>
          <w:sz w:val="24"/>
          <w:szCs w:val="24"/>
        </w:rPr>
        <w:t>担い手への農地利用集積目標</w:t>
      </w:r>
    </w:p>
    <w:p w:rsidR="00771C65" w:rsidRDefault="00447DFC" w:rsidP="00771C65">
      <w:pPr>
        <w:rPr>
          <w:rFonts w:asciiTheme="minorEastAsia" w:hAnsiTheme="minorEastAsia"/>
          <w:sz w:val="24"/>
          <w:szCs w:val="24"/>
        </w:rPr>
      </w:pPr>
      <w:r>
        <w:rPr>
          <w:rFonts w:asciiTheme="minorEastAsia" w:hAnsiTheme="minorEastAsia" w:hint="eastAsia"/>
          <w:sz w:val="24"/>
          <w:szCs w:val="24"/>
        </w:rPr>
        <w:t xml:space="preserve">　　　　　集積面積割2.5％以上を目指す。</w:t>
      </w:r>
    </w:p>
    <w:p w:rsidR="00253041" w:rsidRPr="00F779A3" w:rsidRDefault="00253041" w:rsidP="00771C65">
      <w:pPr>
        <w:rPr>
          <w:rFonts w:asciiTheme="minorEastAsia" w:hAnsiTheme="minorEastAsia"/>
          <w:sz w:val="24"/>
          <w:szCs w:val="24"/>
        </w:rPr>
      </w:pPr>
    </w:p>
    <w:p w:rsidR="00C4724F" w:rsidRPr="00F779A3" w:rsidRDefault="00C4724F" w:rsidP="00C4724F">
      <w:pPr>
        <w:pStyle w:val="a3"/>
        <w:numPr>
          <w:ilvl w:val="0"/>
          <w:numId w:val="5"/>
        </w:numPr>
        <w:ind w:leftChars="0"/>
        <w:rPr>
          <w:rFonts w:asciiTheme="minorEastAsia" w:hAnsiTheme="minorEastAsia"/>
          <w:sz w:val="24"/>
          <w:szCs w:val="24"/>
        </w:rPr>
      </w:pPr>
      <w:r w:rsidRPr="00F779A3">
        <w:rPr>
          <w:rFonts w:asciiTheme="minorEastAsia" w:hAnsiTheme="minorEastAsia" w:hint="eastAsia"/>
          <w:sz w:val="24"/>
          <w:szCs w:val="24"/>
        </w:rPr>
        <w:t>担い手への農地利用の集積・集約化に向けた具体的な推進方法</w:t>
      </w:r>
    </w:p>
    <w:p w:rsidR="002B72CF" w:rsidRPr="00253041" w:rsidRDefault="002B72CF" w:rsidP="00253041">
      <w:pPr>
        <w:pStyle w:val="a3"/>
        <w:numPr>
          <w:ilvl w:val="0"/>
          <w:numId w:val="8"/>
        </w:numPr>
        <w:ind w:leftChars="0"/>
        <w:rPr>
          <w:rFonts w:asciiTheme="minorEastAsia" w:hAnsiTheme="minorEastAsia"/>
          <w:sz w:val="24"/>
          <w:szCs w:val="24"/>
        </w:rPr>
      </w:pPr>
      <w:r w:rsidRPr="00253041">
        <w:rPr>
          <w:rFonts w:asciiTheme="minorEastAsia" w:hAnsiTheme="minorEastAsia" w:hint="eastAsia"/>
          <w:sz w:val="24"/>
          <w:szCs w:val="24"/>
        </w:rPr>
        <w:t>農地利用等ビジョン</w:t>
      </w:r>
    </w:p>
    <w:p w:rsidR="00913136" w:rsidRPr="00F779A3" w:rsidRDefault="005B75EB" w:rsidP="00253041">
      <w:pPr>
        <w:ind w:leftChars="400" w:left="840" w:firstLineChars="100" w:firstLine="240"/>
        <w:rPr>
          <w:rFonts w:asciiTheme="minorEastAsia" w:hAnsiTheme="minorEastAsia"/>
          <w:sz w:val="24"/>
          <w:szCs w:val="24"/>
        </w:rPr>
      </w:pPr>
      <w:r w:rsidRPr="00F779A3">
        <w:rPr>
          <w:rFonts w:asciiTheme="minorEastAsia" w:hAnsiTheme="minorEastAsia" w:hint="eastAsia"/>
          <w:sz w:val="24"/>
          <w:szCs w:val="24"/>
        </w:rPr>
        <w:t>「岸和田市農業経営基盤強化促進基本構想」に基づき、認定農業者等を中心とした効率的かつ安定的な経営体を育成し、それらの者に農地を面的に</w:t>
      </w:r>
      <w:r w:rsidR="00261B4C">
        <w:rPr>
          <w:rFonts w:asciiTheme="minorEastAsia" w:hAnsiTheme="minorEastAsia" w:hint="eastAsia"/>
          <w:sz w:val="24"/>
          <w:szCs w:val="24"/>
        </w:rPr>
        <w:t>集積することを誘導する等とともに</w:t>
      </w:r>
      <w:r w:rsidR="007244B6">
        <w:rPr>
          <w:rFonts w:asciiTheme="minorEastAsia" w:hAnsiTheme="minorEastAsia" w:hint="eastAsia"/>
          <w:sz w:val="24"/>
          <w:szCs w:val="24"/>
        </w:rPr>
        <w:t>農地中間管理機構との連携や農用地利用改善団体</w:t>
      </w:r>
      <w:r w:rsidR="00781753">
        <w:rPr>
          <w:rFonts w:asciiTheme="minorEastAsia" w:hAnsiTheme="minorEastAsia" w:hint="eastAsia"/>
          <w:sz w:val="24"/>
          <w:szCs w:val="24"/>
        </w:rPr>
        <w:t>等を育成し</w:t>
      </w:r>
      <w:r w:rsidR="00261B4C">
        <w:rPr>
          <w:rFonts w:asciiTheme="minorEastAsia" w:hAnsiTheme="minorEastAsia" w:hint="eastAsia"/>
          <w:sz w:val="24"/>
          <w:szCs w:val="24"/>
        </w:rPr>
        <w:t>、</w:t>
      </w:r>
      <w:r w:rsidR="00781753">
        <w:rPr>
          <w:rFonts w:asciiTheme="minorEastAsia" w:hAnsiTheme="minorEastAsia" w:hint="eastAsia"/>
          <w:sz w:val="24"/>
          <w:szCs w:val="24"/>
        </w:rPr>
        <w:t>それらが一体となって地域の農地を守る</w:t>
      </w:r>
      <w:r w:rsidR="002B72CF">
        <w:rPr>
          <w:rFonts w:asciiTheme="minorEastAsia" w:hAnsiTheme="minorEastAsia" w:hint="eastAsia"/>
          <w:sz w:val="24"/>
          <w:szCs w:val="24"/>
        </w:rPr>
        <w:t>体制の整備等を進める。</w:t>
      </w:r>
    </w:p>
    <w:p w:rsidR="00B542E4" w:rsidRPr="00F779A3" w:rsidRDefault="00B542E4" w:rsidP="00B542E4">
      <w:pPr>
        <w:pStyle w:val="a3"/>
        <w:numPr>
          <w:ilvl w:val="0"/>
          <w:numId w:val="2"/>
        </w:numPr>
        <w:ind w:leftChars="0"/>
        <w:rPr>
          <w:rFonts w:asciiTheme="minorEastAsia" w:hAnsiTheme="minorEastAsia"/>
          <w:sz w:val="24"/>
          <w:szCs w:val="24"/>
        </w:rPr>
      </w:pPr>
      <w:r w:rsidRPr="00F779A3">
        <w:rPr>
          <w:rFonts w:asciiTheme="minorEastAsia" w:hAnsiTheme="minorEastAsia" w:hint="eastAsia"/>
          <w:sz w:val="24"/>
          <w:szCs w:val="24"/>
        </w:rPr>
        <w:t>新規参入の促進について</w:t>
      </w:r>
    </w:p>
    <w:p w:rsidR="00C75ADC" w:rsidRPr="00F779A3" w:rsidRDefault="00C75ADC" w:rsidP="00C75ADC">
      <w:pPr>
        <w:pStyle w:val="a3"/>
        <w:numPr>
          <w:ilvl w:val="0"/>
          <w:numId w:val="3"/>
        </w:numPr>
        <w:ind w:leftChars="0"/>
        <w:rPr>
          <w:rFonts w:asciiTheme="minorEastAsia" w:hAnsiTheme="minorEastAsia"/>
          <w:sz w:val="24"/>
          <w:szCs w:val="24"/>
        </w:rPr>
      </w:pPr>
      <w:r w:rsidRPr="00F779A3">
        <w:rPr>
          <w:rFonts w:asciiTheme="minorEastAsia" w:hAnsiTheme="minorEastAsia" w:hint="eastAsia"/>
          <w:sz w:val="24"/>
          <w:szCs w:val="24"/>
        </w:rPr>
        <w:lastRenderedPageBreak/>
        <w:t>新規参入の促進目標</w:t>
      </w:r>
    </w:p>
    <w:p w:rsidR="00771C65" w:rsidRDefault="00447DFC" w:rsidP="00253041">
      <w:pPr>
        <w:ind w:left="930" w:firstLineChars="100" w:firstLine="240"/>
        <w:rPr>
          <w:rFonts w:asciiTheme="minorEastAsia" w:hAnsiTheme="minorEastAsia"/>
          <w:sz w:val="24"/>
          <w:szCs w:val="24"/>
        </w:rPr>
      </w:pPr>
      <w:r>
        <w:rPr>
          <w:rFonts w:asciiTheme="minorEastAsia" w:hAnsiTheme="minorEastAsia" w:hint="eastAsia"/>
          <w:sz w:val="24"/>
          <w:szCs w:val="24"/>
        </w:rPr>
        <w:t>毎年１経営体の新規参入を</w:t>
      </w:r>
      <w:r w:rsidR="00D91433">
        <w:rPr>
          <w:rFonts w:asciiTheme="minorEastAsia" w:hAnsiTheme="minorEastAsia" w:hint="eastAsia"/>
          <w:sz w:val="24"/>
          <w:szCs w:val="24"/>
        </w:rPr>
        <w:t>目標とする。</w:t>
      </w:r>
    </w:p>
    <w:p w:rsidR="00253041" w:rsidRPr="00F779A3" w:rsidRDefault="00253041" w:rsidP="00253041">
      <w:pPr>
        <w:ind w:left="930" w:firstLineChars="100" w:firstLine="240"/>
        <w:rPr>
          <w:rFonts w:asciiTheme="minorEastAsia" w:hAnsiTheme="minorEastAsia"/>
          <w:sz w:val="24"/>
          <w:szCs w:val="24"/>
        </w:rPr>
      </w:pPr>
    </w:p>
    <w:p w:rsidR="00C75ADC" w:rsidRPr="00F779A3" w:rsidRDefault="00C75ADC" w:rsidP="00C75ADC">
      <w:pPr>
        <w:pStyle w:val="a3"/>
        <w:numPr>
          <w:ilvl w:val="0"/>
          <w:numId w:val="3"/>
        </w:numPr>
        <w:ind w:leftChars="0"/>
        <w:rPr>
          <w:rFonts w:asciiTheme="minorEastAsia" w:hAnsiTheme="minorEastAsia"/>
          <w:sz w:val="24"/>
          <w:szCs w:val="24"/>
        </w:rPr>
      </w:pPr>
      <w:r w:rsidRPr="00F779A3">
        <w:rPr>
          <w:rFonts w:asciiTheme="minorEastAsia" w:hAnsiTheme="minorEastAsia" w:hint="eastAsia"/>
          <w:sz w:val="24"/>
          <w:szCs w:val="24"/>
        </w:rPr>
        <w:t>新規参入の促進に向けた具体的な推進方法</w:t>
      </w:r>
    </w:p>
    <w:p w:rsidR="00C75ADC" w:rsidRPr="00F779A3" w:rsidRDefault="00C75ADC" w:rsidP="003A5B4C">
      <w:pPr>
        <w:pStyle w:val="a3"/>
        <w:numPr>
          <w:ilvl w:val="0"/>
          <w:numId w:val="6"/>
        </w:numPr>
        <w:ind w:leftChars="0"/>
        <w:rPr>
          <w:rFonts w:asciiTheme="minorEastAsia" w:hAnsiTheme="minorEastAsia"/>
          <w:sz w:val="24"/>
          <w:szCs w:val="24"/>
        </w:rPr>
      </w:pPr>
      <w:r w:rsidRPr="00F779A3">
        <w:rPr>
          <w:rFonts w:asciiTheme="minorEastAsia" w:hAnsiTheme="minorEastAsia" w:hint="eastAsia"/>
          <w:sz w:val="24"/>
          <w:szCs w:val="24"/>
        </w:rPr>
        <w:t>関係機関との連携について</w:t>
      </w:r>
    </w:p>
    <w:p w:rsidR="00840BD5" w:rsidRPr="00F779A3" w:rsidRDefault="00840BD5" w:rsidP="00253041">
      <w:pPr>
        <w:ind w:leftChars="400" w:left="840" w:firstLineChars="100" w:firstLine="240"/>
        <w:rPr>
          <w:rFonts w:asciiTheme="minorEastAsia" w:hAnsiTheme="minorEastAsia"/>
          <w:sz w:val="24"/>
          <w:szCs w:val="24"/>
        </w:rPr>
      </w:pPr>
      <w:r w:rsidRPr="00F779A3">
        <w:rPr>
          <w:rFonts w:asciiTheme="minorEastAsia" w:hAnsiTheme="minorEastAsia" w:hint="eastAsia"/>
          <w:sz w:val="24"/>
          <w:szCs w:val="24"/>
        </w:rPr>
        <w:t>大阪府、岸和田市、</w:t>
      </w:r>
      <w:r w:rsidR="004279BE">
        <w:rPr>
          <w:rFonts w:asciiTheme="minorEastAsia" w:hAnsiTheme="minorEastAsia" w:hint="eastAsia"/>
          <w:sz w:val="24"/>
          <w:szCs w:val="24"/>
        </w:rPr>
        <w:t>（一社）</w:t>
      </w:r>
      <w:r w:rsidRPr="00F779A3">
        <w:rPr>
          <w:rFonts w:asciiTheme="minorEastAsia" w:hAnsiTheme="minorEastAsia" w:hint="eastAsia"/>
          <w:sz w:val="24"/>
          <w:szCs w:val="24"/>
        </w:rPr>
        <w:t>大阪府農業会議、</w:t>
      </w:r>
      <w:r w:rsidR="004279BE">
        <w:rPr>
          <w:rFonts w:asciiTheme="minorEastAsia" w:hAnsiTheme="minorEastAsia" w:hint="eastAsia"/>
          <w:sz w:val="24"/>
          <w:szCs w:val="24"/>
        </w:rPr>
        <w:t>（一財）</w:t>
      </w:r>
      <w:r w:rsidRPr="00F779A3">
        <w:rPr>
          <w:rFonts w:asciiTheme="minorEastAsia" w:hAnsiTheme="minorEastAsia" w:hint="eastAsia"/>
          <w:sz w:val="24"/>
          <w:szCs w:val="24"/>
        </w:rPr>
        <w:t>大阪府みどり公社、いずみの農業協同組合等と連携し、管内の農地の借入意向のある認定農業者及び参入希望者（法人を含む）を把握し、必要に応じて現地見学や相談会を実施する。</w:t>
      </w:r>
    </w:p>
    <w:p w:rsidR="00840BD5" w:rsidRPr="00F779A3" w:rsidRDefault="00840BD5" w:rsidP="00253041">
      <w:pPr>
        <w:ind w:left="960" w:hangingChars="400" w:hanging="960"/>
        <w:rPr>
          <w:rFonts w:asciiTheme="minorEastAsia" w:hAnsiTheme="minorEastAsia"/>
          <w:sz w:val="24"/>
          <w:szCs w:val="24"/>
        </w:rPr>
      </w:pPr>
    </w:p>
    <w:sectPr w:rsidR="00840BD5" w:rsidRPr="00F779A3" w:rsidSect="00470442">
      <w:footerReference w:type="default" r:id="rId7"/>
      <w:pgSz w:w="11906" w:h="16838" w:code="9"/>
      <w:pgMar w:top="1418" w:right="1416"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9B" w:rsidRDefault="007E469B" w:rsidP="002B0600">
      <w:r>
        <w:separator/>
      </w:r>
    </w:p>
  </w:endnote>
  <w:endnote w:type="continuationSeparator" w:id="0">
    <w:p w:rsidR="007E469B" w:rsidRDefault="007E469B" w:rsidP="002B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68" w:rsidRDefault="00B82268">
    <w:pPr>
      <w:pStyle w:val="a7"/>
    </w:pPr>
  </w:p>
  <w:p w:rsidR="006233F1" w:rsidRDefault="006233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9B" w:rsidRDefault="007E469B" w:rsidP="002B0600">
      <w:r>
        <w:separator/>
      </w:r>
    </w:p>
  </w:footnote>
  <w:footnote w:type="continuationSeparator" w:id="0">
    <w:p w:rsidR="007E469B" w:rsidRDefault="007E469B" w:rsidP="002B0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455A"/>
    <w:multiLevelType w:val="hybridMultilevel"/>
    <w:tmpl w:val="C1623FB8"/>
    <w:lvl w:ilvl="0" w:tplc="6B90DB0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A33089"/>
    <w:multiLevelType w:val="hybridMultilevel"/>
    <w:tmpl w:val="4DAAC886"/>
    <w:lvl w:ilvl="0" w:tplc="83A60D2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A733ED"/>
    <w:multiLevelType w:val="hybridMultilevel"/>
    <w:tmpl w:val="0F98B598"/>
    <w:lvl w:ilvl="0" w:tplc="FA0C4EF2">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C3066"/>
    <w:multiLevelType w:val="hybridMultilevel"/>
    <w:tmpl w:val="6DDAD31A"/>
    <w:lvl w:ilvl="0" w:tplc="D18C68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4D1608"/>
    <w:multiLevelType w:val="hybridMultilevel"/>
    <w:tmpl w:val="AD10C124"/>
    <w:lvl w:ilvl="0" w:tplc="837E02A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481C8C"/>
    <w:multiLevelType w:val="hybridMultilevel"/>
    <w:tmpl w:val="B246D302"/>
    <w:lvl w:ilvl="0" w:tplc="BABEA5F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72E6C"/>
    <w:multiLevelType w:val="hybridMultilevel"/>
    <w:tmpl w:val="95A2FD42"/>
    <w:lvl w:ilvl="0" w:tplc="4DB81B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E250ED"/>
    <w:multiLevelType w:val="hybridMultilevel"/>
    <w:tmpl w:val="AE78D732"/>
    <w:lvl w:ilvl="0" w:tplc="5B9E17CE">
      <w:start w:val="1"/>
      <w:numFmt w:val="aiueo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E7"/>
    <w:rsid w:val="00002FA6"/>
    <w:rsid w:val="00021336"/>
    <w:rsid w:val="000938A7"/>
    <w:rsid w:val="00102C9C"/>
    <w:rsid w:val="001314C5"/>
    <w:rsid w:val="00137D59"/>
    <w:rsid w:val="00161545"/>
    <w:rsid w:val="00231CA1"/>
    <w:rsid w:val="00253041"/>
    <w:rsid w:val="00261B4C"/>
    <w:rsid w:val="002B0600"/>
    <w:rsid w:val="002B72CF"/>
    <w:rsid w:val="002D553E"/>
    <w:rsid w:val="0036053C"/>
    <w:rsid w:val="00376D62"/>
    <w:rsid w:val="003A5B4C"/>
    <w:rsid w:val="003C1D2B"/>
    <w:rsid w:val="004123A5"/>
    <w:rsid w:val="004279BE"/>
    <w:rsid w:val="00447DFC"/>
    <w:rsid w:val="00466CE4"/>
    <w:rsid w:val="00470442"/>
    <w:rsid w:val="004B08DE"/>
    <w:rsid w:val="004D62B5"/>
    <w:rsid w:val="004F7EDF"/>
    <w:rsid w:val="0050441D"/>
    <w:rsid w:val="00505A8C"/>
    <w:rsid w:val="005A6E28"/>
    <w:rsid w:val="005B75EB"/>
    <w:rsid w:val="006227CB"/>
    <w:rsid w:val="006233F1"/>
    <w:rsid w:val="00676C17"/>
    <w:rsid w:val="007244B6"/>
    <w:rsid w:val="007647E1"/>
    <w:rsid w:val="00765FA2"/>
    <w:rsid w:val="00767CAA"/>
    <w:rsid w:val="00771C65"/>
    <w:rsid w:val="00781753"/>
    <w:rsid w:val="007E469B"/>
    <w:rsid w:val="00840BD5"/>
    <w:rsid w:val="008B2EA3"/>
    <w:rsid w:val="008B725D"/>
    <w:rsid w:val="008E3010"/>
    <w:rsid w:val="008E6C09"/>
    <w:rsid w:val="00913136"/>
    <w:rsid w:val="00916AC2"/>
    <w:rsid w:val="00964036"/>
    <w:rsid w:val="009D6D9F"/>
    <w:rsid w:val="00A30DE7"/>
    <w:rsid w:val="00A85AAE"/>
    <w:rsid w:val="00AE5BE8"/>
    <w:rsid w:val="00B542E4"/>
    <w:rsid w:val="00B82268"/>
    <w:rsid w:val="00BB327F"/>
    <w:rsid w:val="00C27C21"/>
    <w:rsid w:val="00C4724F"/>
    <w:rsid w:val="00C6172C"/>
    <w:rsid w:val="00C75ADC"/>
    <w:rsid w:val="00C833DB"/>
    <w:rsid w:val="00D10A98"/>
    <w:rsid w:val="00D37B18"/>
    <w:rsid w:val="00D87BBE"/>
    <w:rsid w:val="00D91433"/>
    <w:rsid w:val="00D92EA0"/>
    <w:rsid w:val="00DC0CC0"/>
    <w:rsid w:val="00DE2C12"/>
    <w:rsid w:val="00E23445"/>
    <w:rsid w:val="00E9762F"/>
    <w:rsid w:val="00EC1427"/>
    <w:rsid w:val="00EE6A32"/>
    <w:rsid w:val="00EF6EA2"/>
    <w:rsid w:val="00F1530D"/>
    <w:rsid w:val="00F174B0"/>
    <w:rsid w:val="00F24BFA"/>
    <w:rsid w:val="00F779A3"/>
    <w:rsid w:val="00F82FEB"/>
    <w:rsid w:val="00FA4DD3"/>
    <w:rsid w:val="00FA5937"/>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5932838-A136-4749-A6EA-8BC2DDB6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41D"/>
    <w:pPr>
      <w:ind w:leftChars="400" w:left="840"/>
    </w:pPr>
  </w:style>
  <w:style w:type="table" w:styleId="a4">
    <w:name w:val="Table Grid"/>
    <w:basedOn w:val="a1"/>
    <w:uiPriority w:val="59"/>
    <w:rsid w:val="00EF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600"/>
    <w:pPr>
      <w:tabs>
        <w:tab w:val="center" w:pos="4252"/>
        <w:tab w:val="right" w:pos="8504"/>
      </w:tabs>
      <w:snapToGrid w:val="0"/>
    </w:pPr>
  </w:style>
  <w:style w:type="character" w:customStyle="1" w:styleId="a6">
    <w:name w:val="ヘッダー (文字)"/>
    <w:basedOn w:val="a0"/>
    <w:link w:val="a5"/>
    <w:uiPriority w:val="99"/>
    <w:rsid w:val="002B0600"/>
  </w:style>
  <w:style w:type="paragraph" w:styleId="a7">
    <w:name w:val="footer"/>
    <w:basedOn w:val="a"/>
    <w:link w:val="a8"/>
    <w:uiPriority w:val="99"/>
    <w:unhideWhenUsed/>
    <w:rsid w:val="002B0600"/>
    <w:pPr>
      <w:tabs>
        <w:tab w:val="center" w:pos="4252"/>
        <w:tab w:val="right" w:pos="8504"/>
      </w:tabs>
      <w:snapToGrid w:val="0"/>
    </w:pPr>
  </w:style>
  <w:style w:type="character" w:customStyle="1" w:styleId="a8">
    <w:name w:val="フッター (文字)"/>
    <w:basedOn w:val="a0"/>
    <w:link w:val="a7"/>
    <w:uiPriority w:val="99"/>
    <w:rsid w:val="002B0600"/>
  </w:style>
  <w:style w:type="paragraph" w:styleId="a9">
    <w:name w:val="Balloon Text"/>
    <w:basedOn w:val="a"/>
    <w:link w:val="aa"/>
    <w:uiPriority w:val="99"/>
    <w:semiHidden/>
    <w:unhideWhenUsed/>
    <w:rsid w:val="002B06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600"/>
    <w:rPr>
      <w:rFonts w:asciiTheme="majorHAnsi" w:eastAsiaTheme="majorEastAsia" w:hAnsiTheme="majorHAnsi" w:cstheme="majorBidi"/>
      <w:sz w:val="18"/>
      <w:szCs w:val="18"/>
    </w:rPr>
  </w:style>
  <w:style w:type="paragraph" w:styleId="ab">
    <w:name w:val="Plain Text"/>
    <w:basedOn w:val="a"/>
    <w:link w:val="ac"/>
    <w:semiHidden/>
    <w:unhideWhenUsed/>
    <w:rsid w:val="004B08DE"/>
    <w:rPr>
      <w:rFonts w:ascii="ＭＳ 明朝" w:eastAsia="ＭＳ 明朝" w:hAnsi="Courier New" w:cs="Courier New"/>
      <w:sz w:val="32"/>
      <w:szCs w:val="21"/>
    </w:rPr>
  </w:style>
  <w:style w:type="character" w:customStyle="1" w:styleId="ac">
    <w:name w:val="書式なし (文字)"/>
    <w:basedOn w:val="a0"/>
    <w:link w:val="ab"/>
    <w:semiHidden/>
    <w:rsid w:val="004B08DE"/>
    <w:rPr>
      <w:rFonts w:ascii="ＭＳ 明朝" w:eastAsia="ＭＳ 明朝" w:hAnsi="Courier New"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2</cp:revision>
  <cp:lastPrinted>2019-03-07T01:13:00Z</cp:lastPrinted>
  <dcterms:created xsi:type="dcterms:W3CDTF">2023-04-17T06:27:00Z</dcterms:created>
  <dcterms:modified xsi:type="dcterms:W3CDTF">2023-04-17T06:27:00Z</dcterms:modified>
</cp:coreProperties>
</file>